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C3D5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金融数据可视化--能力分析报告</w:t>
      </w:r>
    </w:p>
    <w:p w14:paraId="4FBCA40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bookmarkStart w:id="0" w:name="_GoBack"/>
      <w:bookmarkEnd w:id="0"/>
    </w:p>
    <w:p w14:paraId="070D4FCF">
      <w:pPr>
        <w:keepNext w:val="0"/>
        <w:keepLines w:val="0"/>
        <w:pageBreakBefore w:val="0"/>
        <w:widowControl w:val="0"/>
        <w:kinsoku/>
        <w:wordWrap/>
        <w:overflowPunct/>
        <w:topLinePunct w:val="0"/>
        <w:autoSpaceDE/>
        <w:autoSpaceDN/>
        <w:bidi w:val="0"/>
        <w:adjustRightInd/>
        <w:snapToGrid/>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项目名称：</w:t>
      </w:r>
      <w:r>
        <w:rPr>
          <w:rFonts w:hint="eastAsia" w:ascii="宋体" w:hAnsi="宋体" w:cs="宋体"/>
          <w:b/>
          <w:bCs/>
          <w:color w:val="000000" w:themeColor="text1"/>
          <w:sz w:val="21"/>
          <w:szCs w:val="21"/>
          <w:lang w:val="en-US" w:eastAsia="zh-CN"/>
          <w14:textFill>
            <w14:solidFill>
              <w14:schemeClr w14:val="tx1"/>
            </w14:solidFill>
          </w14:textFill>
        </w:rPr>
        <w:t>SQL金融数据处理</w:t>
      </w:r>
    </w:p>
    <w:p w14:paraId="1B68888C">
      <w:pPr>
        <w:keepNext w:val="0"/>
        <w:keepLines w:val="0"/>
        <w:pageBreakBefore w:val="0"/>
        <w:widowControl w:val="0"/>
        <w:kinsoku/>
        <w:wordWrap/>
        <w:overflowPunct/>
        <w:topLinePunct w:val="0"/>
        <w:autoSpaceDE/>
        <w:autoSpaceDN/>
        <w:bidi w:val="0"/>
        <w:adjustRightInd/>
        <w:snapToGrid/>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学号：</w:t>
      </w:r>
      <w:r>
        <w:rPr>
          <w:rFonts w:hint="eastAsia" w:ascii="宋体" w:hAnsi="宋体" w:cs="宋体"/>
          <w:b/>
          <w:bCs/>
          <w:color w:val="000000" w:themeColor="text1"/>
          <w:sz w:val="21"/>
          <w:szCs w:val="21"/>
          <w:lang w:val="en-US" w:eastAsia="zh-CN"/>
          <w14:textFill>
            <w14:solidFill>
              <w14:schemeClr w14:val="tx1"/>
            </w14:solidFill>
          </w14:textFill>
        </w:rPr>
        <w:t>233061301131</w:t>
      </w:r>
    </w:p>
    <w:p w14:paraId="598DE464">
      <w:pPr>
        <w:keepNext w:val="0"/>
        <w:keepLines w:val="0"/>
        <w:pageBreakBefore w:val="0"/>
        <w:widowControl w:val="0"/>
        <w:kinsoku/>
        <w:wordWrap/>
        <w:overflowPunct/>
        <w:topLinePunct w:val="0"/>
        <w:autoSpaceDE/>
        <w:autoSpaceDN/>
        <w:bidi w:val="0"/>
        <w:adjustRightInd/>
        <w:snapToGrid/>
        <w:textAlignment w:val="auto"/>
        <w:rPr>
          <w:rFonts w:hint="default"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姓名：</w:t>
      </w:r>
      <w:r>
        <w:rPr>
          <w:rFonts w:hint="eastAsia" w:ascii="宋体" w:hAnsi="宋体" w:cs="宋体"/>
          <w:b/>
          <w:bCs/>
          <w:color w:val="000000" w:themeColor="text1"/>
          <w:sz w:val="21"/>
          <w:szCs w:val="21"/>
          <w:lang w:val="en-US" w:eastAsia="zh-CN"/>
          <w14:textFill>
            <w14:solidFill>
              <w14:schemeClr w14:val="tx1"/>
            </w14:solidFill>
          </w14:textFill>
        </w:rPr>
        <w:t>王明轩</w:t>
      </w:r>
    </w:p>
    <w:p w14:paraId="1A96458C">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总分：</w:t>
      </w:r>
      <w:r>
        <w:rPr>
          <w:rFonts w:hint="eastAsia" w:ascii="宋体" w:hAnsi="宋体" w:cs="宋体"/>
          <w:b/>
          <w:bCs/>
          <w:color w:val="000000" w:themeColor="text1"/>
          <w:sz w:val="21"/>
          <w:szCs w:val="21"/>
          <w:lang w:val="en-US" w:eastAsia="zh-CN"/>
          <w14:textFill>
            <w14:solidFill>
              <w14:schemeClr w14:val="tx1"/>
            </w14:solidFill>
          </w14:textFill>
        </w:rPr>
        <w:t>71</w:t>
      </w:r>
      <w:r>
        <w:rPr>
          <w:rFonts w:hint="eastAsia" w:ascii="宋体" w:hAnsi="宋体" w:eastAsia="宋体" w:cs="宋体"/>
          <w:b/>
          <w:bCs/>
          <w:color w:val="000000" w:themeColor="text1"/>
          <w:sz w:val="21"/>
          <w:szCs w:val="21"/>
          <w:lang w:val="en-US" w:eastAsia="zh-CN"/>
          <w14:textFill>
            <w14:solidFill>
              <w14:schemeClr w14:val="tx1"/>
            </w14:solidFill>
          </w14:textFill>
        </w:rPr>
        <w:t>（详见项目评分标准）</w:t>
      </w:r>
    </w:p>
    <w:p w14:paraId="4FA3606F">
      <w:pPr>
        <w:keepNext w:val="0"/>
        <w:keepLines w:val="0"/>
        <w:pageBreakBefore w:val="0"/>
        <w:widowControl w:val="0"/>
        <w:kinsoku/>
        <w:wordWrap/>
        <w:overflowPunct/>
        <w:topLinePunct w:val="0"/>
        <w:autoSpaceDE/>
        <w:autoSpaceDN/>
        <w:bidi w:val="0"/>
        <w:adjustRightInd/>
        <w:snapToGrid/>
        <w:textAlignment w:val="auto"/>
        <w:rPr>
          <w:rFonts w:hint="eastAsia" w:eastAsia="宋体"/>
          <w:lang w:eastAsia="zh-CN"/>
        </w:rPr>
      </w:pPr>
      <w:r>
        <w:rPr>
          <w:rFonts w:hint="eastAsia" w:eastAsia="宋体"/>
          <w:lang w:eastAsia="zh-CN"/>
        </w:rPr>
        <w:drawing>
          <wp:inline distT="0" distB="0" distL="114300" distR="114300">
            <wp:extent cx="5267325" cy="3032125"/>
            <wp:effectExtent l="0" t="0" r="3175" b="3175"/>
            <wp:docPr id="1" name="图片 1" descr=")4F8KTMJ{BE3%OIS(G%H`B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F8KTMJ{BE3%OIS(G%H`BJ"/>
                    <pic:cNvPicPr>
                      <a:picLocks noChangeAspect="1"/>
                    </pic:cNvPicPr>
                  </pic:nvPicPr>
                  <pic:blipFill>
                    <a:blip r:embed="rId4"/>
                    <a:stretch>
                      <a:fillRect/>
                    </a:stretch>
                  </pic:blipFill>
                  <pic:spPr>
                    <a:xfrm>
                      <a:off x="0" y="0"/>
                      <a:ext cx="5267325" cy="3032125"/>
                    </a:xfrm>
                    <a:prstGeom prst="rect">
                      <a:avLst/>
                    </a:prstGeom>
                  </pic:spPr>
                </pic:pic>
              </a:graphicData>
            </a:graphic>
          </wp:inline>
        </w:drawing>
      </w:r>
    </w:p>
    <w:p w14:paraId="65A767DE">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14:paraId="16ECF73C">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rPr>
      </w:pPr>
      <w:r>
        <w:rPr>
          <w:rFonts w:hint="eastAsia" w:ascii="宋体" w:hAnsi="宋体" w:eastAsia="宋体" w:cs="宋体"/>
          <w:b/>
          <w:bCs/>
        </w:rPr>
        <w:t>从整体来看：</w:t>
      </w:r>
    </w:p>
    <w:p w14:paraId="6F068D3D">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rPr>
      </w:pPr>
      <w:r>
        <w:rPr>
          <w:rFonts w:hint="eastAsia" w:ascii="宋体" w:hAnsi="宋体" w:eastAsia="宋体" w:cs="宋体"/>
          <w:b/>
          <w:bCs/>
        </w:rPr>
        <w:t>优势：</w:t>
      </w:r>
    </w:p>
    <w:p w14:paraId="3F816BC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能力覆盖全面：学生在数据采集、清洗、分析、结果解读以及工具实操各环节均有涉及且有一定表现，构建起了金融数据处理的基本能力框架，能独立完成从数据获取到结果呈现的完整流程，具备开展金融数据处理工作的基础素养。</w:t>
      </w:r>
    </w:p>
    <w:p w14:paraId="024F621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 xml:space="preserve">自我认知较客观：学生自评与互评分数和学校、企业评分差距不大，说明学生对自身能力水平有较为清晰的认识，有利于在后续学习中根据自身实际情况，有针对性地制定提升计划。 </w:t>
      </w:r>
    </w:p>
    <w:p w14:paraId="09F1236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rPr>
      </w:pPr>
      <w:r>
        <w:rPr>
          <w:rFonts w:hint="eastAsia" w:ascii="宋体" w:hAnsi="宋体" w:eastAsia="宋体" w:cs="宋体"/>
        </w:rPr>
        <w:t xml:space="preserve"> </w:t>
      </w:r>
      <w:r>
        <w:rPr>
          <w:rFonts w:hint="eastAsia" w:ascii="宋体" w:hAnsi="宋体" w:eastAsia="宋体" w:cs="宋体"/>
          <w:b/>
          <w:bCs/>
        </w:rPr>
        <w:t>短板：</w:t>
      </w:r>
    </w:p>
    <w:p w14:paraId="7F704E0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 xml:space="preserve">企业适配度低：企业在各能力维度的评分普遍低于学校评分，反映出学生所掌握的技能在企业真实业务场景中，无论是数据采集的实用性、数据清洗的精准性，还是分析解读的深度、工具操作的效率，都与企业实际需求存在明显差距，难以直接为企业创造价值。 </w:t>
      </w:r>
    </w:p>
    <w:p w14:paraId="3E1F2BA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 xml:space="preserve">核心能力不突出：各项能力评分都处于中等水平，没有一项能力表现出色，在面对复杂金融业务问题或竞争时，缺乏核心竞争力，难以在专业领域内脱颖而出。 </w:t>
      </w:r>
    </w:p>
    <w:p w14:paraId="59CCA46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实践深度不足：在数据处理的各个环节，都只是停留在基础操作层面，对于复杂的金融业务逻辑（如多维度风险评估、高频交易数据分析等）和高级 SQL 功能（如存储过程、复杂视图构建等）的运用严重不足，无法应对更具挑战性的金融数据处理任务。</w:t>
      </w:r>
    </w:p>
    <w:p w14:paraId="5FD4F193">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rPr>
      </w:pPr>
      <w:r>
        <w:rPr>
          <w:rFonts w:hint="eastAsia" w:ascii="宋体" w:hAnsi="宋体" w:eastAsia="宋体" w:cs="宋体"/>
          <w:b/>
          <w:bCs/>
        </w:rPr>
        <w:t>具体来看：</w:t>
      </w:r>
    </w:p>
    <w:p w14:paraId="6F82206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数据采集能力</w:t>
      </w:r>
    </w:p>
    <w:p w14:paraId="2C9A3EA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rPr>
      </w:pPr>
      <w:r>
        <w:rPr>
          <w:rFonts w:hint="eastAsia" w:ascii="宋体" w:hAnsi="宋体" w:eastAsia="宋体" w:cs="宋体"/>
        </w:rPr>
        <w:drawing>
          <wp:inline distT="0" distB="0" distL="114300" distR="114300">
            <wp:extent cx="5270500" cy="2954655"/>
            <wp:effectExtent l="0" t="0" r="635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0500" cy="2954655"/>
                    </a:xfrm>
                    <a:prstGeom prst="rect">
                      <a:avLst/>
                    </a:prstGeom>
                    <a:noFill/>
                    <a:ln>
                      <a:noFill/>
                    </a:ln>
                  </pic:spPr>
                </pic:pic>
              </a:graphicData>
            </a:graphic>
          </wp:inline>
        </w:drawing>
      </w:r>
    </w:p>
    <w:p w14:paraId="1761F8E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rPr>
        <w:t>学校评分为73分，说明学生能够运用常规方法获取如股票行情、企业财务报表等基础金融数据，能完成数据库表的创建与基础数据导入工作，满足日常教学场景下的数据采集需求。企业评分为72分，企业实际业务中，数据来源更为多样且复杂，涉及多系统数据对接、实时流式数据采集等，学生在这些方面的知识和技能储备不足，采集的数据在完整性和时效性上难以达到企业业务开展的要求。</w:t>
      </w:r>
    </w:p>
    <w:p w14:paraId="0875DDE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数据清洗能力</w:t>
      </w:r>
    </w:p>
    <w:p w14:paraId="77085D9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rPr>
      </w:pPr>
      <w:r>
        <w:rPr>
          <w:rFonts w:hint="eastAsia" w:ascii="宋体" w:hAnsi="宋体" w:eastAsia="宋体" w:cs="宋体"/>
        </w:rPr>
        <w:drawing>
          <wp:inline distT="0" distB="0" distL="114300" distR="114300">
            <wp:extent cx="5264785" cy="2980690"/>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4785" cy="2980690"/>
                    </a:xfrm>
                    <a:prstGeom prst="rect">
                      <a:avLst/>
                    </a:prstGeom>
                    <a:noFill/>
                    <a:ln>
                      <a:noFill/>
                    </a:ln>
                  </pic:spPr>
                </pic:pic>
              </a:graphicData>
            </a:graphic>
          </wp:inline>
        </w:drawing>
      </w:r>
    </w:p>
    <w:p w14:paraId="61226A6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学校评分为71分，表明学生可识别并处理一些常见的异常数据，如明显的数值错误、重复记录等，能进行基础的缺失值填充和数据格式转换，使数据能用于基础的金融分析，如简单的收益计算。企业评分为72分，企业业务数据往往包含大量符合特殊业务规则的异常值，如特殊交易类型下的异常数据，学生对这类数据的识别和处理能力不足，清洗后的数据在支撑企业高级数据分析（如客户行为预测）时，质量难以保证。</w:t>
      </w:r>
    </w:p>
    <w:p w14:paraId="65FB55D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数据分析能力</w:t>
      </w:r>
    </w:p>
    <w:p w14:paraId="7E2432B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rPr>
      </w:pPr>
      <w:r>
        <w:rPr>
          <w:rFonts w:hint="eastAsia" w:ascii="宋体" w:hAnsi="宋体" w:eastAsia="宋体" w:cs="宋体"/>
        </w:rPr>
        <w:drawing>
          <wp:inline distT="0" distB="0" distL="114300" distR="114300">
            <wp:extent cx="5266690" cy="2917825"/>
            <wp:effectExtent l="0" t="0" r="63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6690" cy="2917825"/>
                    </a:xfrm>
                    <a:prstGeom prst="rect">
                      <a:avLst/>
                    </a:prstGeom>
                    <a:noFill/>
                    <a:ln>
                      <a:noFill/>
                    </a:ln>
                  </pic:spPr>
                </pic:pic>
              </a:graphicData>
            </a:graphic>
          </wp:inline>
        </w:drawing>
      </w:r>
    </w:p>
    <w:p w14:paraId="59FC614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学校评分为72分，显示学生能运用 SQL 的基础聚合函数、连接查询等进行数据统计分析，如计算某一金融产品的平均收益率、按类别汇总交易数据等，得出的结果能反映数据的基本特征。企业评分为 71 分，企业需要的是结合业务目标的深度分析，如通过数据分析优化投资组合、识别潜在风险点等，学生在分析时缺乏对业务逻辑的深入理解，分析结果对企业决策的参考价值有限。</w:t>
      </w:r>
    </w:p>
    <w:p w14:paraId="5F680C3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结果解读能力</w:t>
      </w:r>
    </w:p>
    <w:p w14:paraId="16D02E1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rPr>
      </w:pPr>
      <w:r>
        <w:rPr>
          <w:rFonts w:hint="eastAsia" w:ascii="宋体" w:hAnsi="宋体" w:eastAsia="宋体" w:cs="宋体"/>
        </w:rPr>
        <w:drawing>
          <wp:inline distT="0" distB="0" distL="114300" distR="114300">
            <wp:extent cx="5273675" cy="2997200"/>
            <wp:effectExtent l="0" t="0" r="317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3675" cy="2997200"/>
                    </a:xfrm>
                    <a:prstGeom prst="rect">
                      <a:avLst/>
                    </a:prstGeom>
                    <a:noFill/>
                    <a:ln>
                      <a:noFill/>
                    </a:ln>
                  </pic:spPr>
                </pic:pic>
              </a:graphicData>
            </a:graphic>
          </wp:inline>
        </w:drawing>
      </w:r>
    </w:p>
    <w:p w14:paraId="4C83B10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学校评分为72分，说明学生能对数据分析结果进行基本的阐述，将数据所体现的表面信息（如数值大小、简单趋势等）清晰表达出来。企业评分为70分，企业希望从结果解读中获取对业务发展有指导意义的结论，如根据收益趋势提出产品调整建议、结合市场环境分析风险等，学生在这方面的解读深度和实用性严重不足。学生自评71分、互评72分，体现出学生对自身解读能力的认知较为准确，但也反映出学生自身也意识到在解读的深度和与业务的结合上存在欠缺。</w:t>
      </w:r>
    </w:p>
    <w:p w14:paraId="27BAC8D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工具实操能力</w:t>
      </w:r>
    </w:p>
    <w:p w14:paraId="4597550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rPr>
      </w:pPr>
      <w:r>
        <w:rPr>
          <w:rFonts w:hint="eastAsia" w:ascii="宋体" w:hAnsi="宋体" w:eastAsia="宋体" w:cs="宋体"/>
        </w:rPr>
        <w:drawing>
          <wp:inline distT="0" distB="0" distL="114300" distR="114300">
            <wp:extent cx="5268595" cy="2912745"/>
            <wp:effectExtent l="0" t="0" r="8255"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68595" cy="2912745"/>
                    </a:xfrm>
                    <a:prstGeom prst="rect">
                      <a:avLst/>
                    </a:prstGeom>
                    <a:noFill/>
                    <a:ln>
                      <a:noFill/>
                    </a:ln>
                  </pic:spPr>
                </pic:pic>
              </a:graphicData>
            </a:graphic>
          </wp:inline>
        </w:drawing>
      </w:r>
    </w:p>
    <w:p w14:paraId="61C1608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学校评分为71分，体现学生能进行SQL工具的基础操作，如简单的数据查询、单表数据更新等，完成教学规定的基础任务。企业评分为70分，企业实际工作中，需要运用SQL工具处理大规模数据、编写复杂的查询语句以及进行高效的数据操作，学生在工具操作的熟练度、复杂任务处理能力上存在明显不足，无法满足企业对数据处理效率和质量的要求。</w:t>
      </w:r>
    </w:p>
    <w:p w14:paraId="53AEF5BD">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lang w:val="en-US" w:eastAsia="zh-CN"/>
        </w:rPr>
      </w:pPr>
      <w:r>
        <w:rPr>
          <w:rFonts w:hint="eastAsia" w:ascii="宋体" w:hAnsi="宋体" w:eastAsia="宋体" w:cs="宋体"/>
          <w:b/>
          <w:bCs/>
          <w:lang w:val="en-US" w:eastAsia="zh-CN"/>
        </w:rPr>
        <w:t>提升建议</w:t>
      </w:r>
      <w:r>
        <w:rPr>
          <w:rFonts w:hint="eastAsia" w:ascii="宋体" w:hAnsi="宋体" w:cs="宋体"/>
          <w:b/>
          <w:bCs/>
          <w:lang w:val="en-US" w:eastAsia="zh-CN"/>
        </w:rPr>
        <w:t>：</w:t>
      </w:r>
    </w:p>
    <w:p w14:paraId="7E4445B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构建企业真实场景实训：与金融企业深度合作，搭建模拟企业真实业务的实训平台，让学生在如高频交易数据处理、多维度风险评估等实际业务场景中，锻炼数据采集、清洗、分析、解读及工具操作能力，提升对企业需求的适配度。</w:t>
      </w:r>
    </w:p>
    <w:p w14:paraId="66F72B1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打造核心能力培养模块：针对金融数据处理的关键环节，如复杂SQL数据分析、高级结果解读等，设置专项核心能力培养模块，通过专题讲座、强化训练等方式，提升学生在核心领域的竞争力。</w:t>
      </w:r>
    </w:p>
    <w:p w14:paraId="72CC198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深化专业融合实践：加强金融专业知识与SQL数据处理的融合教学，引导学生在数据处理过程中，主动运用金融专业知识（如投资学、风险管理等）去理解业务逻辑，开展深度分析，提升实践的深度和广度。</w:t>
      </w:r>
    </w:p>
    <w:p w14:paraId="24A8EC84">
      <w:pPr>
        <w:rPr>
          <w:rFonts w:hint="default"/>
          <w:lang w:val="en-US" w:eastAsia="zh-CN"/>
        </w:rPr>
      </w:pPr>
    </w:p>
    <w:tbl>
      <w:tblPr>
        <w:tblStyle w:val="2"/>
        <w:tblW w:w="8447"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0"/>
        <w:gridCol w:w="905"/>
        <w:gridCol w:w="1110"/>
        <w:gridCol w:w="1545"/>
        <w:gridCol w:w="1605"/>
        <w:gridCol w:w="2182"/>
      </w:tblGrid>
      <w:tr w14:paraId="7301A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44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E61C6">
            <w:pPr>
              <w:keepNext w:val="0"/>
              <w:keepLines w:val="0"/>
              <w:widowControl/>
              <w:suppressLineNumbers w:val="0"/>
              <w:jc w:val="center"/>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SQL金融数据处理</w:t>
            </w:r>
          </w:p>
        </w:tc>
      </w:tr>
      <w:tr w14:paraId="70CDA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8BA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能力指标</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914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学校</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623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企业</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AA5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学生自评</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B4D8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学生互评</w:t>
            </w:r>
          </w:p>
        </w:tc>
        <w:tc>
          <w:tcPr>
            <w:tcW w:w="21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911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总成绩</w:t>
            </w:r>
          </w:p>
        </w:tc>
      </w:tr>
      <w:tr w14:paraId="3471B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A40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数据采集</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881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9D9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9552F">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B19A">
            <w:pPr>
              <w:jc w:val="center"/>
              <w:rPr>
                <w:rFonts w:hint="eastAsia" w:ascii="仿宋" w:hAnsi="仿宋" w:eastAsia="仿宋" w:cs="仿宋"/>
                <w:i w:val="0"/>
                <w:iCs w:val="0"/>
                <w:color w:val="000000"/>
                <w:sz w:val="22"/>
                <w:szCs w:val="22"/>
                <w:u w:val="none"/>
              </w:rPr>
            </w:pPr>
          </w:p>
        </w:tc>
        <w:tc>
          <w:tcPr>
            <w:tcW w:w="21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ABF4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 xml:space="preserve">71 </w:t>
            </w:r>
          </w:p>
        </w:tc>
      </w:tr>
      <w:tr w14:paraId="588B4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739D">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数据清洗</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35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71</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94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DCE4">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2A44">
            <w:pPr>
              <w:jc w:val="center"/>
              <w:rPr>
                <w:rFonts w:hint="eastAsia" w:ascii="仿宋" w:hAnsi="仿宋" w:eastAsia="仿宋" w:cs="仿宋"/>
                <w:i w:val="0"/>
                <w:iCs w:val="0"/>
                <w:color w:val="000000"/>
                <w:sz w:val="22"/>
                <w:szCs w:val="22"/>
                <w:u w:val="none"/>
              </w:rPr>
            </w:pP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547A3">
            <w:pPr>
              <w:jc w:val="center"/>
              <w:rPr>
                <w:rFonts w:hint="eastAsia" w:ascii="仿宋" w:hAnsi="仿宋" w:eastAsia="仿宋" w:cs="仿宋"/>
                <w:i w:val="0"/>
                <w:iCs w:val="0"/>
                <w:color w:val="000000"/>
                <w:sz w:val="22"/>
                <w:szCs w:val="22"/>
                <w:u w:val="none"/>
              </w:rPr>
            </w:pPr>
          </w:p>
        </w:tc>
      </w:tr>
      <w:tr w14:paraId="12591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D24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数据分析</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65A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060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71</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2E19">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13AF">
            <w:pPr>
              <w:jc w:val="center"/>
              <w:rPr>
                <w:rFonts w:hint="eastAsia" w:ascii="仿宋" w:hAnsi="仿宋" w:eastAsia="仿宋" w:cs="仿宋"/>
                <w:i w:val="0"/>
                <w:iCs w:val="0"/>
                <w:color w:val="000000"/>
                <w:sz w:val="22"/>
                <w:szCs w:val="22"/>
                <w:u w:val="none"/>
              </w:rPr>
            </w:pP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3076">
            <w:pPr>
              <w:jc w:val="center"/>
              <w:rPr>
                <w:rFonts w:hint="eastAsia" w:ascii="仿宋" w:hAnsi="仿宋" w:eastAsia="仿宋" w:cs="仿宋"/>
                <w:i w:val="0"/>
                <w:iCs w:val="0"/>
                <w:color w:val="000000"/>
                <w:sz w:val="22"/>
                <w:szCs w:val="22"/>
                <w:u w:val="none"/>
              </w:rPr>
            </w:pPr>
          </w:p>
        </w:tc>
      </w:tr>
      <w:tr w14:paraId="38922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62C6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结果解读</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8F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BD3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3F8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523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72</w:t>
            </w: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645C">
            <w:pPr>
              <w:jc w:val="center"/>
              <w:rPr>
                <w:rFonts w:hint="eastAsia" w:ascii="仿宋" w:hAnsi="仿宋" w:eastAsia="仿宋" w:cs="仿宋"/>
                <w:i w:val="0"/>
                <w:iCs w:val="0"/>
                <w:color w:val="000000"/>
                <w:sz w:val="22"/>
                <w:szCs w:val="22"/>
                <w:u w:val="none"/>
              </w:rPr>
            </w:pPr>
          </w:p>
        </w:tc>
      </w:tr>
      <w:tr w14:paraId="5686B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DEA6">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工具实操</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05F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71</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EC2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A711">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2B36">
            <w:pPr>
              <w:jc w:val="center"/>
              <w:rPr>
                <w:rFonts w:hint="eastAsia" w:ascii="仿宋" w:hAnsi="仿宋" w:eastAsia="仿宋" w:cs="仿宋"/>
                <w:i w:val="0"/>
                <w:iCs w:val="0"/>
                <w:color w:val="000000"/>
                <w:sz w:val="22"/>
                <w:szCs w:val="22"/>
                <w:u w:val="none"/>
              </w:rPr>
            </w:pPr>
          </w:p>
        </w:tc>
        <w:tc>
          <w:tcPr>
            <w:tcW w:w="21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DB35">
            <w:pPr>
              <w:jc w:val="center"/>
              <w:rPr>
                <w:rFonts w:hint="eastAsia" w:ascii="仿宋" w:hAnsi="仿宋" w:eastAsia="仿宋" w:cs="仿宋"/>
                <w:i w:val="0"/>
                <w:iCs w:val="0"/>
                <w:color w:val="000000"/>
                <w:sz w:val="22"/>
                <w:szCs w:val="22"/>
                <w:u w:val="none"/>
              </w:rPr>
            </w:pPr>
          </w:p>
        </w:tc>
      </w:tr>
    </w:tbl>
    <w:p w14:paraId="7245568D">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D55350"/>
    <w:rsid w:val="0F6B5884"/>
    <w:rsid w:val="16A761E6"/>
    <w:rsid w:val="2AF20E16"/>
    <w:rsid w:val="36232900"/>
    <w:rsid w:val="4FA40ED3"/>
    <w:rsid w:val="577D0987"/>
    <w:rsid w:val="5F3140A1"/>
    <w:rsid w:val="60DA69D9"/>
    <w:rsid w:val="6DD55350"/>
    <w:rsid w:val="7EDE3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1796</Words>
  <Characters>1851</Characters>
  <Lines>0</Lines>
  <Paragraphs>0</Paragraphs>
  <TotalTime>0</TotalTime>
  <ScaleCrop>false</ScaleCrop>
  <LinksUpToDate>false</LinksUpToDate>
  <CharactersWithSpaces>1862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2025-09-28T05:39:00Z</dcterms:created>
  <dc:creator>假装开心.</dc:creator>
  <cp:lastModifiedBy>玉米糊</cp:lastModifiedBy>
  <dcterms:modified xsi:type="dcterms:W3CDTF">2025-09-29T10:42:57Z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BEBB3C6463734EE5AFB6F9212F34F1DB_11</vt:lpwstr>
  </property>
  <property fmtid="{D5CDD505-2E9C-101B-9397-08002B2CF9AE}" pid="4" name="KSOTemplateDocerSaveRecord">
    <vt:lpwstr>eyJoZGlkIjoiMzEwNTM5NzYwMDRjMzkwZTVkZjY2ODkwMGIxNGU0OTUiLCJ1c2VySWQiOiI0NzAzNjI1MDcifQ==</vt:lpwstr>
  </property>
</Properties>
</file>