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7F8F80">
      <w:pPr>
        <w:keepNext w:val="0"/>
        <w:keepLines w:val="0"/>
        <w:widowControl w:val="0"/>
        <w:suppressLineNumbers w:val="0"/>
        <w:autoSpaceDE w:val="0"/>
        <w:autoSpaceDN/>
        <w:spacing w:before="0" w:beforeAutospacing="0" w:after="0" w:afterAutospacing="0"/>
        <w:ind w:left="0" w:right="0"/>
        <w:jc w:val="center"/>
        <w:rPr>
          <w:rFonts w:hint="eastAsia" w:ascii="宋体" w:hAnsi="宋体" w:eastAsia="宋体" w:cs="宋体"/>
          <w:b/>
          <w:bCs/>
          <w:color w:val="000000"/>
          <w:kern w:val="2"/>
          <w:sz w:val="21"/>
          <w:szCs w:val="21"/>
        </w:rPr>
      </w:pPr>
      <w:r>
        <w:rPr>
          <w:rFonts w:hint="eastAsia" w:ascii="宋体" w:hAnsi="宋体" w:eastAsia="宋体" w:cs="宋体"/>
          <w:b/>
          <w:bCs/>
          <w:color w:val="000000"/>
          <w:kern w:val="2"/>
          <w:sz w:val="21"/>
          <w:szCs w:val="21"/>
          <w:lang w:val="en-US" w:eastAsia="zh-CN" w:bidi="ar"/>
          <w14:ligatures w14:val="standardContextual"/>
        </w:rPr>
        <w:t>金融数据可视化--能力分析报告</w:t>
      </w:r>
    </w:p>
    <w:p w14:paraId="77D71B93">
      <w:pPr>
        <w:jc w:val="center"/>
        <w:rPr>
          <w:rFonts w:ascii="Times New Roman" w:hAnsi="Times New Roman" w:eastAsia="宋体" w:cs="宋体"/>
          <w:szCs w:val="21"/>
        </w:rPr>
      </w:pPr>
      <w:bookmarkStart w:id="0" w:name="_GoBack"/>
      <w:bookmarkEnd w:id="0"/>
    </w:p>
    <w:p w14:paraId="1249E080">
      <w:pPr>
        <w:rPr>
          <w:rFonts w:ascii="Times New Roman" w:hAnsi="Times New Roman" w:eastAsia="宋体" w:cs="宋体"/>
          <w:b/>
          <w:bCs/>
          <w:szCs w:val="21"/>
        </w:rPr>
      </w:pPr>
      <w:r>
        <w:rPr>
          <w:rFonts w:hint="eastAsia" w:ascii="Times New Roman" w:hAnsi="Times New Roman" w:eastAsia="宋体" w:cs="宋体"/>
          <w:b/>
          <w:bCs/>
          <w:szCs w:val="21"/>
        </w:rPr>
        <w:t>项目名称：SQL金融数据处理</w:t>
      </w:r>
    </w:p>
    <w:p w14:paraId="373638FC">
      <w:pPr>
        <w:rPr>
          <w:rFonts w:ascii="Times New Roman" w:hAnsi="Times New Roman" w:eastAsia="宋体" w:cs="宋体"/>
          <w:b/>
          <w:bCs/>
          <w:szCs w:val="21"/>
        </w:rPr>
      </w:pPr>
      <w:r>
        <w:rPr>
          <w:rFonts w:hint="eastAsia" w:ascii="Times New Roman" w:hAnsi="Times New Roman" w:eastAsia="宋体" w:cs="宋体"/>
          <w:b/>
          <w:bCs/>
          <w:szCs w:val="21"/>
        </w:rPr>
        <w:t>学号：233061301122</w:t>
      </w:r>
    </w:p>
    <w:p w14:paraId="3634F503">
      <w:pPr>
        <w:rPr>
          <w:rFonts w:ascii="Times New Roman" w:hAnsi="Times New Roman" w:eastAsia="宋体" w:cs="宋体"/>
          <w:b/>
          <w:bCs/>
          <w:szCs w:val="21"/>
        </w:rPr>
      </w:pPr>
      <w:r>
        <w:rPr>
          <w:rFonts w:hint="eastAsia" w:ascii="Times New Roman" w:hAnsi="Times New Roman" w:eastAsia="宋体" w:cs="宋体"/>
          <w:b/>
          <w:bCs/>
          <w:szCs w:val="21"/>
        </w:rPr>
        <w:t>姓名：彭梦谣</w:t>
      </w:r>
    </w:p>
    <w:p w14:paraId="28A84949">
      <w:pPr>
        <w:rPr>
          <w:rFonts w:ascii="Times New Roman" w:hAnsi="Times New Roman" w:eastAsia="宋体" w:cs="宋体"/>
          <w:szCs w:val="21"/>
        </w:rPr>
      </w:pPr>
      <w:r>
        <w:rPr>
          <w:rFonts w:hint="eastAsia" w:ascii="Times New Roman" w:hAnsi="Times New Roman" w:eastAsia="宋体" w:cs="宋体"/>
          <w:b/>
          <w:bCs/>
          <w:szCs w:val="21"/>
        </w:rPr>
        <w:t>总分：79（详见项目评分标准）</w:t>
      </w:r>
    </w:p>
    <w:p w14:paraId="5B103D26">
      <w:pPr>
        <w:jc w:val="center"/>
        <w:rPr>
          <w:rFonts w:ascii="Times New Roman" w:hAnsi="Times New Roman" w:eastAsia="宋体"/>
        </w:rPr>
      </w:pPr>
      <w:r>
        <w:drawing>
          <wp:inline distT="0" distB="0" distL="0" distR="0">
            <wp:extent cx="4572000" cy="2743200"/>
            <wp:effectExtent l="0" t="0" r="0" b="0"/>
            <wp:docPr id="67651798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1906CD86">
      <w:pPr>
        <w:ind w:firstLine="422" w:firstLineChars="200"/>
        <w:rPr>
          <w:rFonts w:ascii="Times New Roman" w:hAnsi="Times New Roman" w:eastAsia="宋体"/>
          <w:b/>
          <w:bCs/>
        </w:rPr>
      </w:pPr>
      <w:r>
        <w:rPr>
          <w:rFonts w:hint="eastAsia" w:ascii="Times New Roman" w:hAnsi="Times New Roman" w:eastAsia="宋体"/>
          <w:b/>
          <w:bCs/>
        </w:rPr>
        <w:t>从整体来看：</w:t>
      </w:r>
    </w:p>
    <w:p w14:paraId="350744AE">
      <w:pPr>
        <w:ind w:firstLine="422" w:firstLineChars="200"/>
        <w:rPr>
          <w:rFonts w:ascii="Times New Roman" w:hAnsi="Times New Roman" w:eastAsia="宋体"/>
          <w:b/>
          <w:bCs/>
        </w:rPr>
      </w:pPr>
      <w:r>
        <w:rPr>
          <w:rFonts w:hint="eastAsia" w:ascii="Times New Roman" w:hAnsi="Times New Roman" w:eastAsia="宋体"/>
          <w:b/>
          <w:bCs/>
        </w:rPr>
        <w:t>优势：</w:t>
      </w:r>
    </w:p>
    <w:p w14:paraId="72E2871F">
      <w:pPr>
        <w:ind w:firstLine="420" w:firstLineChars="200"/>
        <w:rPr>
          <w:rFonts w:ascii="Times New Roman" w:hAnsi="Times New Roman" w:eastAsia="宋体"/>
        </w:rPr>
      </w:pPr>
      <w:r>
        <w:rPr>
          <w:rFonts w:hint="eastAsia" w:ascii="Times New Roman" w:hAnsi="Times New Roman" w:eastAsia="宋体"/>
        </w:rPr>
        <w:t>基础能力较好：在数据采集（85分）、数据清洗（83分）和数据分析（82分）的基础环节，学校给出的评分都较高，说明学生对于金融数据获取、基本处理以及运用基础分析方法有一定的掌握，在学校环境下能较好完成实践项目的基础要求。</w:t>
      </w:r>
    </w:p>
    <w:p w14:paraId="7766AE23">
      <w:pPr>
        <w:ind w:firstLine="420" w:firstLineChars="200"/>
        <w:rPr>
          <w:rFonts w:ascii="Times New Roman" w:hAnsi="Times New Roman" w:eastAsia="宋体"/>
        </w:rPr>
      </w:pPr>
      <w:r>
        <w:rPr>
          <w:rFonts w:hint="eastAsia" w:ascii="Times New Roman" w:hAnsi="Times New Roman" w:eastAsia="宋体"/>
        </w:rPr>
        <w:t>自我认知积极：学生在结果解读方面自评（80分）和互评（80分）均高于学校和企业的评分，体现出学生有积极的学习态度和对自身能力的信心，这有利于其在后续学习中保持热情和主动性。</w:t>
      </w:r>
    </w:p>
    <w:p w14:paraId="39337AEA">
      <w:pPr>
        <w:ind w:firstLine="422" w:firstLineChars="200"/>
        <w:rPr>
          <w:rFonts w:ascii="Times New Roman" w:hAnsi="Times New Roman" w:eastAsia="宋体"/>
          <w:b/>
          <w:bCs/>
        </w:rPr>
      </w:pPr>
      <w:r>
        <w:rPr>
          <w:rFonts w:hint="eastAsia" w:ascii="Times New Roman" w:hAnsi="Times New Roman" w:eastAsia="宋体"/>
          <w:b/>
          <w:bCs/>
        </w:rPr>
        <w:t>短板：</w:t>
      </w:r>
    </w:p>
    <w:p w14:paraId="06FF22C7">
      <w:pPr>
        <w:ind w:firstLine="420" w:firstLineChars="200"/>
        <w:rPr>
          <w:rFonts w:ascii="Times New Roman" w:hAnsi="Times New Roman" w:eastAsia="宋体"/>
        </w:rPr>
      </w:pPr>
      <w:r>
        <w:rPr>
          <w:rFonts w:hint="eastAsia" w:ascii="Times New Roman" w:hAnsi="Times New Roman" w:eastAsia="宋体"/>
        </w:rPr>
        <w:t>企业实践应用能力显著不足：各项能力的企业评分普遍且明显地低于学校评分，特别是“工具实操”（70分）和“结果解读”（76分）两项，表明学生将在学校学到的知识和技能应用到企业实际金融业务场景的能力较弱，未能充分满足企业对金融分析人才的要求。</w:t>
      </w:r>
    </w:p>
    <w:p w14:paraId="04E5CF83">
      <w:pPr>
        <w:ind w:firstLine="420" w:firstLineChars="200"/>
        <w:rPr>
          <w:rFonts w:hint="eastAsia" w:ascii="Times New Roman" w:hAnsi="Times New Roman" w:eastAsia="宋体"/>
        </w:rPr>
      </w:pPr>
      <w:r>
        <w:rPr>
          <w:rFonts w:hint="eastAsia" w:ascii="Times New Roman" w:hAnsi="Times New Roman" w:eastAsia="宋体"/>
        </w:rPr>
        <w:t>工具实操与结果解读能力亟待提升：“工具实操”能力的学校评分（76分）和企业评分（70分）均为最低项，表明学生在使用Python等金融工具解决实际问题时熟练度和准确性存在明显短板。“结果解读”的企业评分（76分）也偏低，显示其难以将分析结果有效转化为对业务有实用价值的信息。</w:t>
      </w:r>
    </w:p>
    <w:p w14:paraId="7F56964C">
      <w:pPr>
        <w:ind w:firstLine="422" w:firstLineChars="200"/>
        <w:rPr>
          <w:rFonts w:hint="eastAsia" w:ascii="Times New Roman" w:hAnsi="Times New Roman" w:eastAsia="宋体"/>
          <w:b/>
          <w:bCs/>
        </w:rPr>
      </w:pPr>
      <w:r>
        <w:rPr>
          <w:rFonts w:hint="eastAsia" w:ascii="Times New Roman" w:hAnsi="Times New Roman" w:eastAsia="宋体"/>
          <w:b/>
          <w:bCs/>
        </w:rPr>
        <w:t>具体来看：</w:t>
      </w:r>
    </w:p>
    <w:p w14:paraId="37D0ED47">
      <w:pPr>
        <w:ind w:firstLine="420" w:firstLineChars="200"/>
        <w:rPr>
          <w:rFonts w:ascii="Times New Roman" w:hAnsi="Times New Roman" w:eastAsia="宋体"/>
        </w:rPr>
      </w:pPr>
      <w:r>
        <w:rPr>
          <w:rFonts w:hint="eastAsia" w:ascii="Times New Roman" w:hAnsi="Times New Roman" w:eastAsia="宋体"/>
        </w:rPr>
        <w:t>数据采集能力</w:t>
      </w:r>
    </w:p>
    <w:p w14:paraId="652B8672">
      <w:pPr>
        <w:ind w:firstLine="420" w:firstLineChars="200"/>
        <w:jc w:val="center"/>
        <w:rPr>
          <w:rFonts w:hint="eastAsia" w:ascii="Times New Roman" w:hAnsi="Times New Roman" w:eastAsia="宋体"/>
        </w:rPr>
      </w:pPr>
      <w:r>
        <w:drawing>
          <wp:inline distT="0" distB="0" distL="0" distR="0">
            <wp:extent cx="4572000" cy="2743200"/>
            <wp:effectExtent l="0" t="0" r="0" b="0"/>
            <wp:docPr id="13887045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51D1B275">
      <w:pPr>
        <w:ind w:firstLine="420" w:firstLineChars="200"/>
        <w:rPr>
          <w:rFonts w:ascii="Times New Roman" w:hAnsi="Times New Roman" w:eastAsia="宋体"/>
        </w:rPr>
      </w:pPr>
      <w:r>
        <w:rPr>
          <w:rFonts w:hint="eastAsia" w:ascii="Times New Roman" w:hAnsi="Times New Roman" w:eastAsia="宋体"/>
        </w:rPr>
        <w:t>学校给出85分，说明学生在单位时间内采集数据的数量和准确度方面表现良好。企业评分为80分，低于学校评分，这是因为在企业实际场景中，对于数据采集的要求更高，不仅要数量和准确度达标，还看重数据与业务的契合度。学生在面对真实且复杂多变的业务时，采集的数据在全面性、及时性等方面达不到企业的高标准。</w:t>
      </w:r>
    </w:p>
    <w:p w14:paraId="74B813AF">
      <w:pPr>
        <w:ind w:firstLine="420" w:firstLineChars="200"/>
        <w:rPr>
          <w:rFonts w:ascii="Times New Roman" w:hAnsi="Times New Roman" w:eastAsia="宋体"/>
        </w:rPr>
      </w:pPr>
      <w:r>
        <w:rPr>
          <w:rFonts w:hint="eastAsia" w:ascii="Times New Roman" w:hAnsi="Times New Roman" w:eastAsia="宋体"/>
        </w:rPr>
        <w:t>数据清洗能力</w:t>
      </w:r>
    </w:p>
    <w:p w14:paraId="54D810F7">
      <w:pPr>
        <w:ind w:firstLine="420" w:firstLineChars="200"/>
        <w:jc w:val="center"/>
        <w:rPr>
          <w:rFonts w:hint="eastAsia" w:ascii="Times New Roman" w:hAnsi="Times New Roman" w:eastAsia="宋体"/>
        </w:rPr>
      </w:pPr>
      <w:r>
        <w:drawing>
          <wp:inline distT="0" distB="0" distL="0" distR="0">
            <wp:extent cx="4572000" cy="2743200"/>
            <wp:effectExtent l="0" t="0" r="0" b="0"/>
            <wp:docPr id="631099445"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00FBF42">
      <w:pPr>
        <w:ind w:firstLine="420" w:firstLineChars="200"/>
        <w:rPr>
          <w:rFonts w:ascii="Times New Roman" w:hAnsi="Times New Roman" w:eastAsia="宋体"/>
        </w:rPr>
      </w:pPr>
      <w:r>
        <w:rPr>
          <w:rFonts w:hint="eastAsia" w:ascii="Times New Roman" w:hAnsi="Times New Roman" w:eastAsia="宋体"/>
        </w:rPr>
        <w:t>学校给予83分，显示学生在数据清洗过程中异常值报错准确率较高，清洗后的数据质量能为后续分析提供可靠基础。企业评分80分，在企业真实的大规模金融数据环境里，学生在处理一些特殊业务规则下的异常值存在不足，在数据转换和特征工程方面，未能充分结合企业的实际业务逻辑。</w:t>
      </w:r>
    </w:p>
    <w:p w14:paraId="7728ED30">
      <w:pPr>
        <w:ind w:firstLine="420" w:firstLineChars="200"/>
        <w:rPr>
          <w:rFonts w:ascii="Times New Roman" w:hAnsi="Times New Roman" w:eastAsia="宋体"/>
        </w:rPr>
      </w:pPr>
      <w:r>
        <w:rPr>
          <w:rFonts w:hint="eastAsia" w:ascii="Times New Roman" w:hAnsi="Times New Roman" w:eastAsia="宋体"/>
        </w:rPr>
        <w:t>数据分析能力</w:t>
      </w:r>
    </w:p>
    <w:p w14:paraId="78203CB4">
      <w:pPr>
        <w:ind w:firstLine="420" w:firstLineChars="200"/>
        <w:jc w:val="center"/>
        <w:rPr>
          <w:rFonts w:hint="eastAsia" w:ascii="Times New Roman" w:hAnsi="Times New Roman" w:eastAsia="宋体"/>
        </w:rPr>
      </w:pPr>
      <w:r>
        <w:drawing>
          <wp:inline distT="0" distB="0" distL="0" distR="0">
            <wp:extent cx="4572000" cy="2743200"/>
            <wp:effectExtent l="0" t="0" r="0" b="0"/>
            <wp:docPr id="2015157638"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7C5AD05">
      <w:pPr>
        <w:ind w:firstLine="420" w:firstLineChars="200"/>
        <w:rPr>
          <w:rFonts w:ascii="Times New Roman" w:hAnsi="Times New Roman" w:eastAsia="宋体"/>
        </w:rPr>
      </w:pPr>
      <w:r>
        <w:rPr>
          <w:rFonts w:hint="eastAsia" w:ascii="Times New Roman" w:hAnsi="Times New Roman" w:eastAsia="宋体"/>
        </w:rPr>
        <w:t>学校评分82分，表明学生的数据分析报告在分析方法的合理性、结论的可靠性等方面表现较好。企业评分78分，在企业中，数据分析需要与企业的战略规划、业务拓展等实际需求紧密结合，学生在将分析结果转化为对企业有实际价值的建议和决策支持方面能力不足。</w:t>
      </w:r>
    </w:p>
    <w:p w14:paraId="458B5462">
      <w:pPr>
        <w:ind w:firstLine="420" w:firstLineChars="200"/>
        <w:rPr>
          <w:rFonts w:ascii="Times New Roman" w:hAnsi="Times New Roman" w:eastAsia="宋体"/>
        </w:rPr>
      </w:pPr>
      <w:r>
        <w:rPr>
          <w:rFonts w:hint="eastAsia" w:ascii="Times New Roman" w:hAnsi="Times New Roman" w:eastAsia="宋体"/>
        </w:rPr>
        <w:t>结果解读能力</w:t>
      </w:r>
    </w:p>
    <w:p w14:paraId="0D311CF4">
      <w:pPr>
        <w:ind w:firstLine="420" w:firstLineChars="200"/>
        <w:jc w:val="center"/>
        <w:rPr>
          <w:rFonts w:hint="eastAsia" w:ascii="Times New Roman" w:hAnsi="Times New Roman" w:eastAsia="宋体"/>
        </w:rPr>
      </w:pPr>
      <w:r>
        <w:drawing>
          <wp:inline distT="0" distB="0" distL="0" distR="0">
            <wp:extent cx="4572000" cy="2743200"/>
            <wp:effectExtent l="0" t="0" r="0" b="0"/>
            <wp:docPr id="213697993"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0307EF4">
      <w:pPr>
        <w:ind w:firstLine="420" w:firstLineChars="200"/>
        <w:rPr>
          <w:rFonts w:ascii="Times New Roman" w:hAnsi="Times New Roman" w:eastAsia="宋体"/>
        </w:rPr>
      </w:pPr>
      <w:r>
        <w:rPr>
          <w:rFonts w:hint="eastAsia" w:ascii="Times New Roman" w:hAnsi="Times New Roman" w:eastAsia="宋体"/>
        </w:rPr>
        <w:t>学生自评和互评均为80分，显示学生自我感觉在对结果的理解深度和解读清晰度方面表现较好。但学校评分78分、企业评分76分。从学校角度看，学生在解读结果时的仪态、表达的专业性和准确性存在提升空间；从企业角度，结果解读对业务决策的实用性不够，未能很好地为企业创造经济效益或提供关键决策支持。</w:t>
      </w:r>
    </w:p>
    <w:p w14:paraId="4F8326F7">
      <w:pPr>
        <w:ind w:firstLine="420" w:firstLineChars="200"/>
        <w:rPr>
          <w:rFonts w:ascii="Times New Roman" w:hAnsi="Times New Roman" w:eastAsia="宋体"/>
        </w:rPr>
      </w:pPr>
      <w:r>
        <w:rPr>
          <w:rFonts w:hint="eastAsia" w:ascii="Times New Roman" w:hAnsi="Times New Roman" w:eastAsia="宋体"/>
        </w:rPr>
        <w:t>工具实操能力</w:t>
      </w:r>
    </w:p>
    <w:p w14:paraId="757AA0C7">
      <w:pPr>
        <w:ind w:firstLine="420" w:firstLineChars="200"/>
        <w:jc w:val="center"/>
        <w:rPr>
          <w:rFonts w:hint="eastAsia" w:ascii="Times New Roman" w:hAnsi="Times New Roman" w:eastAsia="宋体"/>
        </w:rPr>
      </w:pPr>
      <w:r>
        <w:drawing>
          <wp:inline distT="0" distB="0" distL="0" distR="0">
            <wp:extent cx="4572000" cy="2743200"/>
            <wp:effectExtent l="0" t="0" r="0" b="0"/>
            <wp:docPr id="1393538940"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C76E455">
      <w:pPr>
        <w:ind w:firstLine="420" w:firstLineChars="200"/>
        <w:rPr>
          <w:rFonts w:ascii="Times New Roman" w:hAnsi="Times New Roman" w:eastAsia="宋体"/>
        </w:rPr>
      </w:pPr>
      <w:r>
        <w:rPr>
          <w:rFonts w:hint="eastAsia" w:ascii="Times New Roman" w:hAnsi="Times New Roman" w:eastAsia="宋体"/>
        </w:rPr>
        <w:t>学校评分76分，说明学生在项目实践中使用金融工具无错误操作次数达到一定比例，但操作熟练精准度不够。企业评分70分，在企业实际工作场景里，学生运用工具解决实际问题的能力较弱，频繁出现错误影响任务进度，这是其能力结构中最薄弱的环节。</w:t>
      </w:r>
    </w:p>
    <w:p w14:paraId="78227C66">
      <w:pPr>
        <w:ind w:firstLine="420" w:firstLineChars="200"/>
        <w:rPr>
          <w:rFonts w:ascii="Times New Roman" w:hAnsi="Times New Roman" w:eastAsia="宋体"/>
        </w:rPr>
      </w:pPr>
    </w:p>
    <w:p w14:paraId="5E0B4811">
      <w:pPr>
        <w:ind w:firstLine="420" w:firstLineChars="200"/>
        <w:rPr>
          <w:rFonts w:ascii="Times New Roman" w:hAnsi="Times New Roman" w:eastAsia="宋体"/>
        </w:rPr>
      </w:pPr>
      <w:r>
        <w:rPr>
          <w:rFonts w:hint="eastAsia" w:ascii="Times New Roman" w:hAnsi="Times New Roman" w:eastAsia="宋体"/>
        </w:rPr>
        <w:t>提升建议：</w:t>
      </w:r>
    </w:p>
    <w:p w14:paraId="71D8AD7B">
      <w:pPr>
        <w:ind w:firstLine="420" w:firstLineChars="200"/>
        <w:rPr>
          <w:rFonts w:ascii="Times New Roman" w:hAnsi="Times New Roman" w:eastAsia="宋体"/>
        </w:rPr>
      </w:pPr>
      <w:r>
        <w:rPr>
          <w:rFonts w:hint="eastAsia" w:ascii="Times New Roman" w:hAnsi="Times New Roman" w:eastAsia="宋体"/>
        </w:rPr>
        <w:t>1.强化工具实操训练：建议该同学进行针对性的、高强度的Python金融工具包（如Pandas,NumPy）的实操练习，通过完成一系列小型、集中的任务来提升操作的熟练度和准确性，减少错误率。这是弥补其最大短板的首要任务。</w:t>
      </w:r>
    </w:p>
    <w:p w14:paraId="20844ACF">
      <w:pPr>
        <w:ind w:firstLine="420" w:firstLineChars="200"/>
        <w:rPr>
          <w:rFonts w:ascii="Times New Roman" w:hAnsi="Times New Roman" w:eastAsia="宋体"/>
        </w:rPr>
      </w:pPr>
      <w:r>
        <w:rPr>
          <w:rFonts w:hint="eastAsia" w:ascii="Times New Roman" w:hAnsi="Times New Roman" w:eastAsia="宋体"/>
        </w:rPr>
        <w:t>2.增加企业真实场景的实践机会：鼓励学生参与校企合作项目或使用高度仿真的企业案例进行学习，使其熟悉企业的业务流程和数据特点，重点训练在真实业务目标驱动下进行数据采集、分析和解读的全流程能力。</w:t>
      </w:r>
    </w:p>
    <w:p w14:paraId="0E36BC3F">
      <w:pPr>
        <w:ind w:firstLine="420" w:firstLineChars="200"/>
        <w:rPr>
          <w:rFonts w:ascii="Times New Roman" w:hAnsi="Times New Roman" w:eastAsia="宋体"/>
        </w:rPr>
      </w:pPr>
      <w:r>
        <w:rPr>
          <w:rFonts w:hint="eastAsia" w:ascii="Times New Roman" w:hAnsi="Times New Roman" w:eastAsia="宋体"/>
        </w:rPr>
        <w:t>3.聚焦结果解读的商务价值培养：建议多学习和分析优秀的商业分析报告，并邀请企业导师进行指导。练习时应有意识地从“业务方需要什么信息”出发，而不仅是“我分析出了什么数据”，提升解读结果的实用性和说服力。</w:t>
      </w:r>
    </w:p>
    <w:p w14:paraId="64E07694">
      <w:pPr>
        <w:rPr>
          <w:rFonts w:ascii="Times New Roman" w:hAnsi="Times New Roman" w:eastAsia="宋体"/>
        </w:rPr>
      </w:pPr>
    </w:p>
    <w:tbl>
      <w:tblPr>
        <w:tblStyle w:val="16"/>
        <w:tblW w:w="5000" w:type="pct"/>
        <w:tblInd w:w="0" w:type="dxa"/>
        <w:tblLayout w:type="autofit"/>
        <w:tblCellMar>
          <w:top w:w="0" w:type="dxa"/>
          <w:left w:w="108" w:type="dxa"/>
          <w:bottom w:w="0" w:type="dxa"/>
          <w:right w:w="108" w:type="dxa"/>
        </w:tblCellMar>
      </w:tblPr>
      <w:tblGrid>
        <w:gridCol w:w="1777"/>
        <w:gridCol w:w="918"/>
        <w:gridCol w:w="919"/>
        <w:gridCol w:w="1778"/>
        <w:gridCol w:w="1778"/>
        <w:gridCol w:w="1352"/>
      </w:tblGrid>
      <w:tr w14:paraId="2438C3D2">
        <w:tblPrEx>
          <w:tblCellMar>
            <w:top w:w="0" w:type="dxa"/>
            <w:left w:w="108" w:type="dxa"/>
            <w:bottom w:w="0" w:type="dxa"/>
            <w:right w:w="108" w:type="dxa"/>
          </w:tblCellMar>
        </w:tblPrEx>
        <w:trPr>
          <w:trHeight w:val="280" w:hRule="atLeast"/>
        </w:trPr>
        <w:tc>
          <w:tcPr>
            <w:tcW w:w="5000" w:type="pct"/>
            <w:gridSpan w:val="6"/>
            <w:tcBorders>
              <w:top w:val="nil"/>
              <w:left w:val="single" w:color="auto" w:sz="4" w:space="0"/>
              <w:bottom w:val="single" w:color="auto" w:sz="4" w:space="0"/>
              <w:right w:val="nil"/>
            </w:tcBorders>
            <w:noWrap/>
            <w:vAlign w:val="center"/>
          </w:tcPr>
          <w:p w14:paraId="123206BA">
            <w:pPr>
              <w:widowControl/>
              <w:jc w:val="center"/>
              <w:rPr>
                <w:rFonts w:ascii="Times New Roman" w:hAnsi="Times New Roman" w:eastAsia="宋体" w:cs="宋体"/>
                <w:b/>
                <w:bCs/>
                <w:kern w:val="0"/>
                <w14:ligatures w14:val="none"/>
              </w:rPr>
            </w:pPr>
            <w:r>
              <w:rPr>
                <w:rFonts w:hint="eastAsia" w:ascii="Times New Roman" w:hAnsi="Times New Roman" w:eastAsia="宋体" w:cs="宋体"/>
                <w:b/>
                <w:bCs/>
                <w:kern w:val="0"/>
                <w14:ligatures w14:val="none"/>
              </w:rPr>
              <w:t>SQL金融数据处理</w:t>
            </w:r>
          </w:p>
        </w:tc>
      </w:tr>
      <w:tr w14:paraId="216EB58C">
        <w:tblPrEx>
          <w:tblCellMar>
            <w:top w:w="0" w:type="dxa"/>
            <w:left w:w="108" w:type="dxa"/>
            <w:bottom w:w="0" w:type="dxa"/>
            <w:right w:w="108" w:type="dxa"/>
          </w:tblCellMar>
        </w:tblPrEx>
        <w:trPr>
          <w:trHeight w:val="280" w:hRule="atLeast"/>
        </w:trPr>
        <w:tc>
          <w:tcPr>
            <w:tcW w:w="1043" w:type="pct"/>
            <w:tcBorders>
              <w:top w:val="nil"/>
              <w:left w:val="single" w:color="auto" w:sz="4" w:space="0"/>
              <w:bottom w:val="single" w:color="auto" w:sz="4" w:space="0"/>
              <w:right w:val="single" w:color="auto" w:sz="4" w:space="0"/>
            </w:tcBorders>
            <w:noWrap/>
            <w:vAlign w:val="center"/>
          </w:tcPr>
          <w:p w14:paraId="30BD163F">
            <w:pPr>
              <w:widowControl/>
              <w:jc w:val="center"/>
              <w:rPr>
                <w:rFonts w:ascii="Times New Roman" w:hAnsi="Times New Roman" w:eastAsia="宋体" w:cs="宋体"/>
                <w:b/>
                <w:bCs/>
                <w:kern w:val="0"/>
                <w14:ligatures w14:val="none"/>
              </w:rPr>
            </w:pPr>
            <w:r>
              <w:rPr>
                <w:rFonts w:hint="eastAsia" w:ascii="Times New Roman" w:hAnsi="Times New Roman" w:eastAsia="宋体" w:cs="宋体"/>
                <w:b/>
                <w:bCs/>
                <w:kern w:val="0"/>
                <w14:ligatures w14:val="none"/>
              </w:rPr>
              <w:t>能力指标</w:t>
            </w:r>
          </w:p>
        </w:tc>
        <w:tc>
          <w:tcPr>
            <w:tcW w:w="539" w:type="pct"/>
            <w:tcBorders>
              <w:top w:val="nil"/>
              <w:left w:val="nil"/>
              <w:bottom w:val="single" w:color="auto" w:sz="4" w:space="0"/>
              <w:right w:val="single" w:color="auto" w:sz="4" w:space="0"/>
            </w:tcBorders>
            <w:noWrap/>
            <w:vAlign w:val="center"/>
          </w:tcPr>
          <w:p w14:paraId="610B4940">
            <w:pPr>
              <w:widowControl/>
              <w:jc w:val="center"/>
              <w:rPr>
                <w:rFonts w:ascii="Times New Roman" w:hAnsi="Times New Roman" w:eastAsia="宋体" w:cs="宋体"/>
                <w:b/>
                <w:bCs/>
                <w:kern w:val="0"/>
                <w14:ligatures w14:val="none"/>
              </w:rPr>
            </w:pPr>
            <w:r>
              <w:rPr>
                <w:rFonts w:hint="eastAsia" w:ascii="Times New Roman" w:hAnsi="Times New Roman" w:eastAsia="宋体" w:cs="宋体"/>
                <w:b/>
                <w:bCs/>
                <w:kern w:val="0"/>
                <w14:ligatures w14:val="none"/>
              </w:rPr>
              <w:t>学校</w:t>
            </w:r>
          </w:p>
        </w:tc>
        <w:tc>
          <w:tcPr>
            <w:tcW w:w="539" w:type="pct"/>
            <w:tcBorders>
              <w:top w:val="nil"/>
              <w:left w:val="nil"/>
              <w:bottom w:val="single" w:color="auto" w:sz="4" w:space="0"/>
              <w:right w:val="single" w:color="auto" w:sz="4" w:space="0"/>
            </w:tcBorders>
            <w:noWrap/>
            <w:vAlign w:val="center"/>
          </w:tcPr>
          <w:p w14:paraId="0905F857">
            <w:pPr>
              <w:widowControl/>
              <w:jc w:val="center"/>
              <w:rPr>
                <w:rFonts w:ascii="Times New Roman" w:hAnsi="Times New Roman" w:eastAsia="宋体" w:cs="宋体"/>
                <w:b/>
                <w:bCs/>
                <w:kern w:val="0"/>
                <w14:ligatures w14:val="none"/>
              </w:rPr>
            </w:pPr>
            <w:r>
              <w:rPr>
                <w:rFonts w:hint="eastAsia" w:ascii="Times New Roman" w:hAnsi="Times New Roman" w:eastAsia="宋体" w:cs="宋体"/>
                <w:b/>
                <w:bCs/>
                <w:kern w:val="0"/>
                <w14:ligatures w14:val="none"/>
              </w:rPr>
              <w:t>企业</w:t>
            </w:r>
          </w:p>
        </w:tc>
        <w:tc>
          <w:tcPr>
            <w:tcW w:w="1043" w:type="pct"/>
            <w:tcBorders>
              <w:top w:val="nil"/>
              <w:left w:val="nil"/>
              <w:bottom w:val="single" w:color="auto" w:sz="4" w:space="0"/>
              <w:right w:val="single" w:color="auto" w:sz="4" w:space="0"/>
            </w:tcBorders>
            <w:noWrap/>
            <w:vAlign w:val="center"/>
          </w:tcPr>
          <w:p w14:paraId="4514DE26">
            <w:pPr>
              <w:widowControl/>
              <w:jc w:val="center"/>
              <w:rPr>
                <w:rFonts w:ascii="Times New Roman" w:hAnsi="Times New Roman" w:eastAsia="宋体" w:cs="宋体"/>
                <w:b/>
                <w:bCs/>
                <w:kern w:val="0"/>
                <w14:ligatures w14:val="none"/>
              </w:rPr>
            </w:pPr>
            <w:r>
              <w:rPr>
                <w:rFonts w:hint="eastAsia" w:ascii="Times New Roman" w:hAnsi="Times New Roman" w:eastAsia="宋体" w:cs="宋体"/>
                <w:b/>
                <w:bCs/>
                <w:kern w:val="0"/>
                <w14:ligatures w14:val="none"/>
              </w:rPr>
              <w:t>学生自评</w:t>
            </w:r>
          </w:p>
        </w:tc>
        <w:tc>
          <w:tcPr>
            <w:tcW w:w="1043" w:type="pct"/>
            <w:tcBorders>
              <w:top w:val="nil"/>
              <w:left w:val="nil"/>
              <w:bottom w:val="single" w:color="auto" w:sz="4" w:space="0"/>
              <w:right w:val="single" w:color="auto" w:sz="4" w:space="0"/>
            </w:tcBorders>
            <w:noWrap/>
            <w:vAlign w:val="center"/>
          </w:tcPr>
          <w:p w14:paraId="4C9B28A7">
            <w:pPr>
              <w:widowControl/>
              <w:jc w:val="center"/>
              <w:rPr>
                <w:rFonts w:ascii="Times New Roman" w:hAnsi="Times New Roman" w:eastAsia="宋体" w:cs="宋体"/>
                <w:b/>
                <w:bCs/>
                <w:kern w:val="0"/>
                <w14:ligatures w14:val="none"/>
              </w:rPr>
            </w:pPr>
            <w:r>
              <w:rPr>
                <w:rFonts w:hint="eastAsia" w:ascii="Times New Roman" w:hAnsi="Times New Roman" w:eastAsia="宋体" w:cs="宋体"/>
                <w:b/>
                <w:bCs/>
                <w:kern w:val="0"/>
                <w14:ligatures w14:val="none"/>
              </w:rPr>
              <w:t>学生互评</w:t>
            </w:r>
          </w:p>
        </w:tc>
        <w:tc>
          <w:tcPr>
            <w:tcW w:w="792" w:type="pct"/>
            <w:tcBorders>
              <w:top w:val="nil"/>
              <w:left w:val="nil"/>
              <w:bottom w:val="single" w:color="auto" w:sz="4" w:space="0"/>
              <w:right w:val="single" w:color="auto" w:sz="4" w:space="0"/>
            </w:tcBorders>
            <w:noWrap/>
            <w:vAlign w:val="center"/>
          </w:tcPr>
          <w:p w14:paraId="77736821">
            <w:pPr>
              <w:widowControl/>
              <w:jc w:val="left"/>
              <w:rPr>
                <w:rFonts w:ascii="Times New Roman" w:hAnsi="Times New Roman" w:eastAsia="宋体" w:cs="宋体"/>
                <w:b/>
                <w:bCs/>
                <w:kern w:val="0"/>
                <w14:ligatures w14:val="none"/>
              </w:rPr>
            </w:pPr>
            <w:r>
              <w:rPr>
                <w:rFonts w:hint="eastAsia" w:ascii="Times New Roman" w:hAnsi="Times New Roman" w:eastAsia="宋体" w:cs="宋体"/>
                <w:b/>
                <w:bCs/>
                <w:kern w:val="0"/>
                <w14:ligatures w14:val="none"/>
              </w:rPr>
              <w:t>总成绩</w:t>
            </w:r>
          </w:p>
        </w:tc>
      </w:tr>
      <w:tr w14:paraId="058FC18E">
        <w:tblPrEx>
          <w:tblCellMar>
            <w:top w:w="0" w:type="dxa"/>
            <w:left w:w="108" w:type="dxa"/>
            <w:bottom w:w="0" w:type="dxa"/>
            <w:right w:w="108" w:type="dxa"/>
          </w:tblCellMar>
        </w:tblPrEx>
        <w:trPr>
          <w:trHeight w:val="280" w:hRule="atLeast"/>
        </w:trPr>
        <w:tc>
          <w:tcPr>
            <w:tcW w:w="1043" w:type="pct"/>
            <w:tcBorders>
              <w:top w:val="nil"/>
              <w:left w:val="single" w:color="auto" w:sz="4" w:space="0"/>
              <w:bottom w:val="single" w:color="auto" w:sz="4" w:space="0"/>
              <w:right w:val="single" w:color="auto" w:sz="4" w:space="0"/>
            </w:tcBorders>
            <w:noWrap/>
            <w:vAlign w:val="center"/>
          </w:tcPr>
          <w:p w14:paraId="2F378391">
            <w:pPr>
              <w:widowControl/>
              <w:jc w:val="center"/>
              <w:rPr>
                <w:rFonts w:ascii="Times New Roman" w:hAnsi="Times New Roman" w:eastAsia="宋体" w:cs="宋体"/>
                <w:b/>
                <w:bCs/>
                <w:kern w:val="0"/>
                <w14:ligatures w14:val="none"/>
              </w:rPr>
            </w:pPr>
            <w:r>
              <w:rPr>
                <w:rFonts w:hint="eastAsia" w:ascii="Times New Roman" w:hAnsi="Times New Roman" w:eastAsia="宋体" w:cs="宋体"/>
                <w:b/>
                <w:bCs/>
                <w:kern w:val="0"/>
                <w14:ligatures w14:val="none"/>
              </w:rPr>
              <w:t>数据采集</w:t>
            </w:r>
          </w:p>
        </w:tc>
        <w:tc>
          <w:tcPr>
            <w:tcW w:w="539" w:type="pct"/>
            <w:tcBorders>
              <w:top w:val="nil"/>
              <w:left w:val="nil"/>
              <w:bottom w:val="single" w:color="auto" w:sz="4" w:space="0"/>
              <w:right w:val="single" w:color="auto" w:sz="4" w:space="0"/>
            </w:tcBorders>
            <w:noWrap/>
            <w:vAlign w:val="center"/>
          </w:tcPr>
          <w:p w14:paraId="7FBF24FE">
            <w:pPr>
              <w:widowControl/>
              <w:jc w:val="center"/>
              <w:rPr>
                <w:rFonts w:ascii="Times New Roman" w:hAnsi="Times New Roman" w:eastAsia="宋体" w:cs="宋体"/>
                <w:kern w:val="0"/>
                <w14:ligatures w14:val="none"/>
              </w:rPr>
            </w:pPr>
            <w:r>
              <w:rPr>
                <w:rFonts w:hint="eastAsia" w:ascii="Times New Roman" w:hAnsi="Times New Roman" w:eastAsia="宋体" w:cs="宋体"/>
                <w:kern w:val="0"/>
                <w14:ligatures w14:val="none"/>
              </w:rPr>
              <w:t>85</w:t>
            </w:r>
          </w:p>
        </w:tc>
        <w:tc>
          <w:tcPr>
            <w:tcW w:w="539" w:type="pct"/>
            <w:tcBorders>
              <w:top w:val="nil"/>
              <w:left w:val="nil"/>
              <w:bottom w:val="single" w:color="auto" w:sz="4" w:space="0"/>
              <w:right w:val="single" w:color="auto" w:sz="4" w:space="0"/>
            </w:tcBorders>
            <w:noWrap/>
            <w:vAlign w:val="center"/>
          </w:tcPr>
          <w:p w14:paraId="62FB23E0">
            <w:pPr>
              <w:widowControl/>
              <w:jc w:val="center"/>
              <w:rPr>
                <w:rFonts w:ascii="Times New Roman" w:hAnsi="Times New Roman" w:eastAsia="宋体" w:cs="宋体"/>
                <w:kern w:val="0"/>
                <w14:ligatures w14:val="none"/>
              </w:rPr>
            </w:pPr>
            <w:r>
              <w:rPr>
                <w:rFonts w:hint="eastAsia" w:ascii="Times New Roman" w:hAnsi="Times New Roman" w:eastAsia="宋体" w:cs="宋体"/>
                <w:kern w:val="0"/>
                <w14:ligatures w14:val="none"/>
              </w:rPr>
              <w:t>80</w:t>
            </w:r>
          </w:p>
        </w:tc>
        <w:tc>
          <w:tcPr>
            <w:tcW w:w="1043" w:type="pct"/>
            <w:tcBorders>
              <w:top w:val="nil"/>
              <w:left w:val="nil"/>
              <w:bottom w:val="single" w:color="auto" w:sz="4" w:space="0"/>
              <w:right w:val="single" w:color="auto" w:sz="4" w:space="0"/>
            </w:tcBorders>
            <w:noWrap/>
            <w:vAlign w:val="center"/>
          </w:tcPr>
          <w:p w14:paraId="579C2F1A">
            <w:pPr>
              <w:widowControl/>
              <w:jc w:val="center"/>
              <w:rPr>
                <w:rFonts w:ascii="Times New Roman" w:hAnsi="Times New Roman" w:eastAsia="宋体" w:cs="宋体"/>
                <w:kern w:val="0"/>
                <w14:ligatures w14:val="none"/>
              </w:rPr>
            </w:pPr>
            <w:r>
              <w:rPr>
                <w:rFonts w:hint="eastAsia" w:ascii="Times New Roman" w:hAnsi="Times New Roman" w:eastAsia="宋体" w:cs="宋体"/>
                <w:kern w:val="0"/>
                <w14:ligatures w14:val="none"/>
              </w:rPr>
              <w:t>　</w:t>
            </w:r>
          </w:p>
        </w:tc>
        <w:tc>
          <w:tcPr>
            <w:tcW w:w="1043" w:type="pct"/>
            <w:tcBorders>
              <w:top w:val="nil"/>
              <w:left w:val="nil"/>
              <w:bottom w:val="single" w:color="auto" w:sz="4" w:space="0"/>
              <w:right w:val="single" w:color="auto" w:sz="4" w:space="0"/>
            </w:tcBorders>
            <w:noWrap/>
            <w:vAlign w:val="center"/>
          </w:tcPr>
          <w:p w14:paraId="1DC7D369">
            <w:pPr>
              <w:widowControl/>
              <w:jc w:val="center"/>
              <w:rPr>
                <w:rFonts w:ascii="Times New Roman" w:hAnsi="Times New Roman" w:eastAsia="宋体" w:cs="宋体"/>
                <w:kern w:val="0"/>
                <w14:ligatures w14:val="none"/>
              </w:rPr>
            </w:pPr>
            <w:r>
              <w:rPr>
                <w:rFonts w:hint="eastAsia" w:ascii="Times New Roman" w:hAnsi="Times New Roman" w:eastAsia="宋体" w:cs="宋体"/>
                <w:kern w:val="0"/>
                <w14:ligatures w14:val="none"/>
              </w:rPr>
              <w:t>　</w:t>
            </w:r>
          </w:p>
        </w:tc>
        <w:tc>
          <w:tcPr>
            <w:tcW w:w="792" w:type="pct"/>
            <w:vMerge w:val="restart"/>
            <w:tcBorders>
              <w:top w:val="nil"/>
              <w:left w:val="single" w:color="auto" w:sz="4" w:space="0"/>
              <w:bottom w:val="single" w:color="auto" w:sz="4" w:space="0"/>
              <w:right w:val="single" w:color="auto" w:sz="4" w:space="0"/>
            </w:tcBorders>
            <w:noWrap/>
            <w:vAlign w:val="center"/>
          </w:tcPr>
          <w:p w14:paraId="16062A41">
            <w:pPr>
              <w:widowControl/>
              <w:jc w:val="center"/>
              <w:rPr>
                <w:rFonts w:ascii="Times New Roman" w:hAnsi="Times New Roman" w:eastAsia="宋体" w:cs="宋体"/>
                <w:kern w:val="0"/>
                <w14:ligatures w14:val="none"/>
              </w:rPr>
            </w:pPr>
            <w:r>
              <w:rPr>
                <w:rFonts w:hint="eastAsia" w:ascii="Times New Roman" w:hAnsi="Times New Roman" w:eastAsia="宋体" w:cs="宋体"/>
                <w:kern w:val="0"/>
                <w14:ligatures w14:val="none"/>
              </w:rPr>
              <w:t>79</w:t>
            </w:r>
          </w:p>
        </w:tc>
      </w:tr>
      <w:tr w14:paraId="08DD5465">
        <w:tblPrEx>
          <w:tblCellMar>
            <w:top w:w="0" w:type="dxa"/>
            <w:left w:w="108" w:type="dxa"/>
            <w:bottom w:w="0" w:type="dxa"/>
            <w:right w:w="108" w:type="dxa"/>
          </w:tblCellMar>
        </w:tblPrEx>
        <w:trPr>
          <w:trHeight w:val="280" w:hRule="atLeast"/>
        </w:trPr>
        <w:tc>
          <w:tcPr>
            <w:tcW w:w="1043" w:type="pct"/>
            <w:tcBorders>
              <w:top w:val="nil"/>
              <w:left w:val="single" w:color="auto" w:sz="4" w:space="0"/>
              <w:bottom w:val="single" w:color="auto" w:sz="4" w:space="0"/>
              <w:right w:val="single" w:color="auto" w:sz="4" w:space="0"/>
            </w:tcBorders>
            <w:noWrap/>
            <w:vAlign w:val="center"/>
          </w:tcPr>
          <w:p w14:paraId="77011210">
            <w:pPr>
              <w:widowControl/>
              <w:jc w:val="center"/>
              <w:rPr>
                <w:rFonts w:ascii="Times New Roman" w:hAnsi="Times New Roman" w:eastAsia="宋体" w:cs="宋体"/>
                <w:b/>
                <w:bCs/>
                <w:kern w:val="0"/>
                <w14:ligatures w14:val="none"/>
              </w:rPr>
            </w:pPr>
            <w:r>
              <w:rPr>
                <w:rFonts w:hint="eastAsia" w:ascii="Times New Roman" w:hAnsi="Times New Roman" w:eastAsia="宋体" w:cs="宋体"/>
                <w:b/>
                <w:bCs/>
                <w:kern w:val="0"/>
                <w14:ligatures w14:val="none"/>
              </w:rPr>
              <w:t>数据清洗</w:t>
            </w:r>
          </w:p>
        </w:tc>
        <w:tc>
          <w:tcPr>
            <w:tcW w:w="539" w:type="pct"/>
            <w:tcBorders>
              <w:top w:val="nil"/>
              <w:left w:val="nil"/>
              <w:bottom w:val="single" w:color="auto" w:sz="4" w:space="0"/>
              <w:right w:val="single" w:color="auto" w:sz="4" w:space="0"/>
            </w:tcBorders>
            <w:noWrap/>
            <w:vAlign w:val="center"/>
          </w:tcPr>
          <w:p w14:paraId="7F1EF9D4">
            <w:pPr>
              <w:widowControl/>
              <w:jc w:val="center"/>
              <w:rPr>
                <w:rFonts w:ascii="Times New Roman" w:hAnsi="Times New Roman" w:eastAsia="宋体" w:cs="宋体"/>
                <w:kern w:val="0"/>
                <w14:ligatures w14:val="none"/>
              </w:rPr>
            </w:pPr>
            <w:r>
              <w:rPr>
                <w:rFonts w:hint="eastAsia" w:ascii="Times New Roman" w:hAnsi="Times New Roman" w:eastAsia="宋体" w:cs="宋体"/>
                <w:kern w:val="0"/>
                <w14:ligatures w14:val="none"/>
              </w:rPr>
              <w:t>83</w:t>
            </w:r>
          </w:p>
        </w:tc>
        <w:tc>
          <w:tcPr>
            <w:tcW w:w="539" w:type="pct"/>
            <w:tcBorders>
              <w:top w:val="nil"/>
              <w:left w:val="nil"/>
              <w:bottom w:val="single" w:color="auto" w:sz="4" w:space="0"/>
              <w:right w:val="single" w:color="auto" w:sz="4" w:space="0"/>
            </w:tcBorders>
            <w:noWrap/>
            <w:vAlign w:val="center"/>
          </w:tcPr>
          <w:p w14:paraId="62632A55">
            <w:pPr>
              <w:widowControl/>
              <w:jc w:val="center"/>
              <w:rPr>
                <w:rFonts w:ascii="Times New Roman" w:hAnsi="Times New Roman" w:eastAsia="宋体" w:cs="宋体"/>
                <w:kern w:val="0"/>
                <w14:ligatures w14:val="none"/>
              </w:rPr>
            </w:pPr>
            <w:r>
              <w:rPr>
                <w:rFonts w:hint="eastAsia" w:ascii="Times New Roman" w:hAnsi="Times New Roman" w:eastAsia="宋体" w:cs="宋体"/>
                <w:kern w:val="0"/>
                <w14:ligatures w14:val="none"/>
              </w:rPr>
              <w:t>80</w:t>
            </w:r>
          </w:p>
        </w:tc>
        <w:tc>
          <w:tcPr>
            <w:tcW w:w="1043" w:type="pct"/>
            <w:tcBorders>
              <w:top w:val="nil"/>
              <w:left w:val="nil"/>
              <w:bottom w:val="single" w:color="auto" w:sz="4" w:space="0"/>
              <w:right w:val="single" w:color="auto" w:sz="4" w:space="0"/>
            </w:tcBorders>
            <w:noWrap/>
            <w:vAlign w:val="center"/>
          </w:tcPr>
          <w:p w14:paraId="115BE383">
            <w:pPr>
              <w:widowControl/>
              <w:jc w:val="center"/>
              <w:rPr>
                <w:rFonts w:ascii="Times New Roman" w:hAnsi="Times New Roman" w:eastAsia="宋体" w:cs="宋体"/>
                <w:kern w:val="0"/>
                <w14:ligatures w14:val="none"/>
              </w:rPr>
            </w:pPr>
            <w:r>
              <w:rPr>
                <w:rFonts w:hint="eastAsia" w:ascii="Times New Roman" w:hAnsi="Times New Roman" w:eastAsia="宋体" w:cs="宋体"/>
                <w:kern w:val="0"/>
                <w14:ligatures w14:val="none"/>
              </w:rPr>
              <w:t>　</w:t>
            </w:r>
          </w:p>
        </w:tc>
        <w:tc>
          <w:tcPr>
            <w:tcW w:w="1043" w:type="pct"/>
            <w:tcBorders>
              <w:top w:val="nil"/>
              <w:left w:val="nil"/>
              <w:bottom w:val="single" w:color="auto" w:sz="4" w:space="0"/>
              <w:right w:val="single" w:color="auto" w:sz="4" w:space="0"/>
            </w:tcBorders>
            <w:noWrap/>
            <w:vAlign w:val="center"/>
          </w:tcPr>
          <w:p w14:paraId="0D33C9E5">
            <w:pPr>
              <w:widowControl/>
              <w:jc w:val="center"/>
              <w:rPr>
                <w:rFonts w:ascii="Times New Roman" w:hAnsi="Times New Roman" w:eastAsia="宋体" w:cs="宋体"/>
                <w:kern w:val="0"/>
                <w14:ligatures w14:val="none"/>
              </w:rPr>
            </w:pPr>
            <w:r>
              <w:rPr>
                <w:rFonts w:hint="eastAsia" w:ascii="Times New Roman" w:hAnsi="Times New Roman" w:eastAsia="宋体" w:cs="宋体"/>
                <w:kern w:val="0"/>
                <w14:ligatures w14:val="none"/>
              </w:rPr>
              <w:t>　</w:t>
            </w:r>
          </w:p>
        </w:tc>
        <w:tc>
          <w:tcPr>
            <w:tcW w:w="792" w:type="pct"/>
            <w:vMerge w:val="continue"/>
            <w:tcBorders>
              <w:top w:val="nil"/>
              <w:left w:val="single" w:color="auto" w:sz="4" w:space="0"/>
              <w:bottom w:val="single" w:color="auto" w:sz="4" w:space="0"/>
              <w:right w:val="single" w:color="auto" w:sz="4" w:space="0"/>
            </w:tcBorders>
            <w:vAlign w:val="center"/>
          </w:tcPr>
          <w:p w14:paraId="16D51D9A">
            <w:pPr>
              <w:widowControl/>
              <w:jc w:val="left"/>
              <w:rPr>
                <w:rFonts w:ascii="Times New Roman" w:hAnsi="Times New Roman" w:eastAsia="宋体" w:cs="宋体"/>
                <w:kern w:val="0"/>
                <w14:ligatures w14:val="none"/>
              </w:rPr>
            </w:pPr>
          </w:p>
        </w:tc>
      </w:tr>
      <w:tr w14:paraId="6C27E730">
        <w:tblPrEx>
          <w:tblCellMar>
            <w:top w:w="0" w:type="dxa"/>
            <w:left w:w="108" w:type="dxa"/>
            <w:bottom w:w="0" w:type="dxa"/>
            <w:right w:w="108" w:type="dxa"/>
          </w:tblCellMar>
        </w:tblPrEx>
        <w:trPr>
          <w:trHeight w:val="280" w:hRule="atLeast"/>
        </w:trPr>
        <w:tc>
          <w:tcPr>
            <w:tcW w:w="1043" w:type="pct"/>
            <w:tcBorders>
              <w:top w:val="nil"/>
              <w:left w:val="single" w:color="auto" w:sz="4" w:space="0"/>
              <w:bottom w:val="single" w:color="auto" w:sz="4" w:space="0"/>
              <w:right w:val="single" w:color="auto" w:sz="4" w:space="0"/>
            </w:tcBorders>
            <w:noWrap/>
            <w:vAlign w:val="center"/>
          </w:tcPr>
          <w:p w14:paraId="2DFB6A0E">
            <w:pPr>
              <w:widowControl/>
              <w:jc w:val="center"/>
              <w:rPr>
                <w:rFonts w:ascii="Times New Roman" w:hAnsi="Times New Roman" w:eastAsia="宋体" w:cs="宋体"/>
                <w:b/>
                <w:bCs/>
                <w:kern w:val="0"/>
                <w14:ligatures w14:val="none"/>
              </w:rPr>
            </w:pPr>
            <w:r>
              <w:rPr>
                <w:rFonts w:hint="eastAsia" w:ascii="Times New Roman" w:hAnsi="Times New Roman" w:eastAsia="宋体" w:cs="宋体"/>
                <w:b/>
                <w:bCs/>
                <w:kern w:val="0"/>
                <w14:ligatures w14:val="none"/>
              </w:rPr>
              <w:t>数据分析</w:t>
            </w:r>
          </w:p>
        </w:tc>
        <w:tc>
          <w:tcPr>
            <w:tcW w:w="539" w:type="pct"/>
            <w:tcBorders>
              <w:top w:val="nil"/>
              <w:left w:val="nil"/>
              <w:bottom w:val="single" w:color="auto" w:sz="4" w:space="0"/>
              <w:right w:val="single" w:color="auto" w:sz="4" w:space="0"/>
            </w:tcBorders>
            <w:noWrap/>
            <w:vAlign w:val="center"/>
          </w:tcPr>
          <w:p w14:paraId="212059E1">
            <w:pPr>
              <w:widowControl/>
              <w:jc w:val="center"/>
              <w:rPr>
                <w:rFonts w:ascii="Times New Roman" w:hAnsi="Times New Roman" w:eastAsia="宋体" w:cs="宋体"/>
                <w:kern w:val="0"/>
                <w14:ligatures w14:val="none"/>
              </w:rPr>
            </w:pPr>
            <w:r>
              <w:rPr>
                <w:rFonts w:hint="eastAsia" w:ascii="Times New Roman" w:hAnsi="Times New Roman" w:eastAsia="宋体" w:cs="宋体"/>
                <w:kern w:val="0"/>
                <w14:ligatures w14:val="none"/>
              </w:rPr>
              <w:t>82</w:t>
            </w:r>
          </w:p>
        </w:tc>
        <w:tc>
          <w:tcPr>
            <w:tcW w:w="539" w:type="pct"/>
            <w:tcBorders>
              <w:top w:val="nil"/>
              <w:left w:val="nil"/>
              <w:bottom w:val="single" w:color="auto" w:sz="4" w:space="0"/>
              <w:right w:val="single" w:color="auto" w:sz="4" w:space="0"/>
            </w:tcBorders>
            <w:noWrap/>
            <w:vAlign w:val="center"/>
          </w:tcPr>
          <w:p w14:paraId="7124C874">
            <w:pPr>
              <w:widowControl/>
              <w:jc w:val="center"/>
              <w:rPr>
                <w:rFonts w:ascii="Times New Roman" w:hAnsi="Times New Roman" w:eastAsia="宋体" w:cs="宋体"/>
                <w:kern w:val="0"/>
                <w14:ligatures w14:val="none"/>
              </w:rPr>
            </w:pPr>
            <w:r>
              <w:rPr>
                <w:rFonts w:hint="eastAsia" w:ascii="Times New Roman" w:hAnsi="Times New Roman" w:eastAsia="宋体" w:cs="宋体"/>
                <w:kern w:val="0"/>
                <w14:ligatures w14:val="none"/>
              </w:rPr>
              <w:t>78</w:t>
            </w:r>
          </w:p>
        </w:tc>
        <w:tc>
          <w:tcPr>
            <w:tcW w:w="1043" w:type="pct"/>
            <w:tcBorders>
              <w:top w:val="nil"/>
              <w:left w:val="nil"/>
              <w:bottom w:val="single" w:color="auto" w:sz="4" w:space="0"/>
              <w:right w:val="single" w:color="auto" w:sz="4" w:space="0"/>
            </w:tcBorders>
            <w:noWrap/>
            <w:vAlign w:val="center"/>
          </w:tcPr>
          <w:p w14:paraId="2B2B016E">
            <w:pPr>
              <w:widowControl/>
              <w:jc w:val="center"/>
              <w:rPr>
                <w:rFonts w:ascii="Times New Roman" w:hAnsi="Times New Roman" w:eastAsia="宋体" w:cs="宋体"/>
                <w:kern w:val="0"/>
                <w14:ligatures w14:val="none"/>
              </w:rPr>
            </w:pPr>
            <w:r>
              <w:rPr>
                <w:rFonts w:hint="eastAsia" w:ascii="Times New Roman" w:hAnsi="Times New Roman" w:eastAsia="宋体" w:cs="宋体"/>
                <w:kern w:val="0"/>
                <w14:ligatures w14:val="none"/>
              </w:rPr>
              <w:t>　</w:t>
            </w:r>
          </w:p>
        </w:tc>
        <w:tc>
          <w:tcPr>
            <w:tcW w:w="1043" w:type="pct"/>
            <w:tcBorders>
              <w:top w:val="nil"/>
              <w:left w:val="nil"/>
              <w:bottom w:val="single" w:color="auto" w:sz="4" w:space="0"/>
              <w:right w:val="single" w:color="auto" w:sz="4" w:space="0"/>
            </w:tcBorders>
            <w:noWrap/>
            <w:vAlign w:val="center"/>
          </w:tcPr>
          <w:p w14:paraId="2BE29308">
            <w:pPr>
              <w:widowControl/>
              <w:jc w:val="center"/>
              <w:rPr>
                <w:rFonts w:ascii="Times New Roman" w:hAnsi="Times New Roman" w:eastAsia="宋体" w:cs="宋体"/>
                <w:kern w:val="0"/>
                <w14:ligatures w14:val="none"/>
              </w:rPr>
            </w:pPr>
            <w:r>
              <w:rPr>
                <w:rFonts w:hint="eastAsia" w:ascii="Times New Roman" w:hAnsi="Times New Roman" w:eastAsia="宋体" w:cs="宋体"/>
                <w:kern w:val="0"/>
                <w14:ligatures w14:val="none"/>
              </w:rPr>
              <w:t>　</w:t>
            </w:r>
          </w:p>
        </w:tc>
        <w:tc>
          <w:tcPr>
            <w:tcW w:w="792" w:type="pct"/>
            <w:vMerge w:val="continue"/>
            <w:tcBorders>
              <w:top w:val="nil"/>
              <w:left w:val="single" w:color="auto" w:sz="4" w:space="0"/>
              <w:bottom w:val="single" w:color="auto" w:sz="4" w:space="0"/>
              <w:right w:val="single" w:color="auto" w:sz="4" w:space="0"/>
            </w:tcBorders>
            <w:vAlign w:val="center"/>
          </w:tcPr>
          <w:p w14:paraId="2E2F6AFB">
            <w:pPr>
              <w:widowControl/>
              <w:jc w:val="left"/>
              <w:rPr>
                <w:rFonts w:ascii="Times New Roman" w:hAnsi="Times New Roman" w:eastAsia="宋体" w:cs="宋体"/>
                <w:kern w:val="0"/>
                <w14:ligatures w14:val="none"/>
              </w:rPr>
            </w:pPr>
          </w:p>
        </w:tc>
      </w:tr>
      <w:tr w14:paraId="3F7DB133">
        <w:tblPrEx>
          <w:tblCellMar>
            <w:top w:w="0" w:type="dxa"/>
            <w:left w:w="108" w:type="dxa"/>
            <w:bottom w:w="0" w:type="dxa"/>
            <w:right w:w="108" w:type="dxa"/>
          </w:tblCellMar>
        </w:tblPrEx>
        <w:trPr>
          <w:trHeight w:val="280" w:hRule="atLeast"/>
        </w:trPr>
        <w:tc>
          <w:tcPr>
            <w:tcW w:w="1043" w:type="pct"/>
            <w:tcBorders>
              <w:top w:val="nil"/>
              <w:left w:val="single" w:color="auto" w:sz="4" w:space="0"/>
              <w:bottom w:val="single" w:color="auto" w:sz="4" w:space="0"/>
              <w:right w:val="single" w:color="auto" w:sz="4" w:space="0"/>
            </w:tcBorders>
            <w:noWrap/>
            <w:vAlign w:val="center"/>
          </w:tcPr>
          <w:p w14:paraId="51DD0BA1">
            <w:pPr>
              <w:widowControl/>
              <w:jc w:val="center"/>
              <w:rPr>
                <w:rFonts w:ascii="Times New Roman" w:hAnsi="Times New Roman" w:eastAsia="宋体" w:cs="宋体"/>
                <w:b/>
                <w:bCs/>
                <w:kern w:val="0"/>
                <w14:ligatures w14:val="none"/>
              </w:rPr>
            </w:pPr>
            <w:r>
              <w:rPr>
                <w:rFonts w:hint="eastAsia" w:ascii="Times New Roman" w:hAnsi="Times New Roman" w:eastAsia="宋体" w:cs="宋体"/>
                <w:b/>
                <w:bCs/>
                <w:kern w:val="0"/>
                <w14:ligatures w14:val="none"/>
              </w:rPr>
              <w:t>结果解读</w:t>
            </w:r>
          </w:p>
        </w:tc>
        <w:tc>
          <w:tcPr>
            <w:tcW w:w="539" w:type="pct"/>
            <w:tcBorders>
              <w:top w:val="nil"/>
              <w:left w:val="nil"/>
              <w:bottom w:val="single" w:color="auto" w:sz="4" w:space="0"/>
              <w:right w:val="single" w:color="auto" w:sz="4" w:space="0"/>
            </w:tcBorders>
            <w:noWrap/>
            <w:vAlign w:val="center"/>
          </w:tcPr>
          <w:p w14:paraId="28140E9C">
            <w:pPr>
              <w:widowControl/>
              <w:jc w:val="center"/>
              <w:rPr>
                <w:rFonts w:ascii="Times New Roman" w:hAnsi="Times New Roman" w:eastAsia="宋体" w:cs="宋体"/>
                <w:kern w:val="0"/>
                <w14:ligatures w14:val="none"/>
              </w:rPr>
            </w:pPr>
            <w:r>
              <w:rPr>
                <w:rFonts w:hint="eastAsia" w:ascii="Times New Roman" w:hAnsi="Times New Roman" w:eastAsia="宋体" w:cs="宋体"/>
                <w:kern w:val="0"/>
                <w14:ligatures w14:val="none"/>
              </w:rPr>
              <w:t>78</w:t>
            </w:r>
          </w:p>
        </w:tc>
        <w:tc>
          <w:tcPr>
            <w:tcW w:w="539" w:type="pct"/>
            <w:tcBorders>
              <w:top w:val="nil"/>
              <w:left w:val="nil"/>
              <w:bottom w:val="single" w:color="auto" w:sz="4" w:space="0"/>
              <w:right w:val="single" w:color="auto" w:sz="4" w:space="0"/>
            </w:tcBorders>
            <w:noWrap/>
            <w:vAlign w:val="center"/>
          </w:tcPr>
          <w:p w14:paraId="24813876">
            <w:pPr>
              <w:widowControl/>
              <w:jc w:val="center"/>
              <w:rPr>
                <w:rFonts w:ascii="Times New Roman" w:hAnsi="Times New Roman" w:eastAsia="宋体" w:cs="宋体"/>
                <w:kern w:val="0"/>
                <w14:ligatures w14:val="none"/>
              </w:rPr>
            </w:pPr>
            <w:r>
              <w:rPr>
                <w:rFonts w:hint="eastAsia" w:ascii="Times New Roman" w:hAnsi="Times New Roman" w:eastAsia="宋体" w:cs="宋体"/>
                <w:kern w:val="0"/>
                <w14:ligatures w14:val="none"/>
              </w:rPr>
              <w:t>76</w:t>
            </w:r>
          </w:p>
        </w:tc>
        <w:tc>
          <w:tcPr>
            <w:tcW w:w="1043" w:type="pct"/>
            <w:tcBorders>
              <w:top w:val="nil"/>
              <w:left w:val="nil"/>
              <w:bottom w:val="single" w:color="auto" w:sz="4" w:space="0"/>
              <w:right w:val="single" w:color="auto" w:sz="4" w:space="0"/>
            </w:tcBorders>
            <w:noWrap/>
            <w:vAlign w:val="center"/>
          </w:tcPr>
          <w:p w14:paraId="0C5FCCC7">
            <w:pPr>
              <w:widowControl/>
              <w:jc w:val="center"/>
              <w:rPr>
                <w:rFonts w:ascii="Times New Roman" w:hAnsi="Times New Roman" w:eastAsia="宋体" w:cs="宋体"/>
                <w:kern w:val="0"/>
                <w14:ligatures w14:val="none"/>
              </w:rPr>
            </w:pPr>
            <w:r>
              <w:rPr>
                <w:rFonts w:hint="eastAsia" w:ascii="Times New Roman" w:hAnsi="Times New Roman" w:eastAsia="宋体" w:cs="宋体"/>
                <w:kern w:val="0"/>
                <w14:ligatures w14:val="none"/>
              </w:rPr>
              <w:t>80</w:t>
            </w:r>
          </w:p>
        </w:tc>
        <w:tc>
          <w:tcPr>
            <w:tcW w:w="1043" w:type="pct"/>
            <w:tcBorders>
              <w:top w:val="nil"/>
              <w:left w:val="nil"/>
              <w:bottom w:val="single" w:color="auto" w:sz="4" w:space="0"/>
              <w:right w:val="single" w:color="auto" w:sz="4" w:space="0"/>
            </w:tcBorders>
            <w:noWrap/>
            <w:vAlign w:val="center"/>
          </w:tcPr>
          <w:p w14:paraId="523FB3D3">
            <w:pPr>
              <w:widowControl/>
              <w:jc w:val="center"/>
              <w:rPr>
                <w:rFonts w:ascii="Times New Roman" w:hAnsi="Times New Roman" w:eastAsia="宋体" w:cs="宋体"/>
                <w:kern w:val="0"/>
                <w14:ligatures w14:val="none"/>
              </w:rPr>
            </w:pPr>
            <w:r>
              <w:rPr>
                <w:rFonts w:hint="eastAsia" w:ascii="Times New Roman" w:hAnsi="Times New Roman" w:eastAsia="宋体" w:cs="宋体"/>
                <w:kern w:val="0"/>
                <w14:ligatures w14:val="none"/>
              </w:rPr>
              <w:t>80</w:t>
            </w:r>
          </w:p>
        </w:tc>
        <w:tc>
          <w:tcPr>
            <w:tcW w:w="792" w:type="pct"/>
            <w:vMerge w:val="continue"/>
            <w:tcBorders>
              <w:top w:val="nil"/>
              <w:left w:val="single" w:color="auto" w:sz="4" w:space="0"/>
              <w:bottom w:val="single" w:color="auto" w:sz="4" w:space="0"/>
              <w:right w:val="single" w:color="auto" w:sz="4" w:space="0"/>
            </w:tcBorders>
            <w:vAlign w:val="center"/>
          </w:tcPr>
          <w:p w14:paraId="70E29511">
            <w:pPr>
              <w:widowControl/>
              <w:jc w:val="left"/>
              <w:rPr>
                <w:rFonts w:ascii="Times New Roman" w:hAnsi="Times New Roman" w:eastAsia="宋体" w:cs="宋体"/>
                <w:kern w:val="0"/>
                <w14:ligatures w14:val="none"/>
              </w:rPr>
            </w:pPr>
          </w:p>
        </w:tc>
      </w:tr>
      <w:tr w14:paraId="7B8948BF">
        <w:tblPrEx>
          <w:tblCellMar>
            <w:top w:w="0" w:type="dxa"/>
            <w:left w:w="108" w:type="dxa"/>
            <w:bottom w:w="0" w:type="dxa"/>
            <w:right w:w="108" w:type="dxa"/>
          </w:tblCellMar>
        </w:tblPrEx>
        <w:trPr>
          <w:trHeight w:val="280" w:hRule="atLeast"/>
        </w:trPr>
        <w:tc>
          <w:tcPr>
            <w:tcW w:w="1043" w:type="pct"/>
            <w:tcBorders>
              <w:top w:val="nil"/>
              <w:left w:val="single" w:color="auto" w:sz="4" w:space="0"/>
              <w:bottom w:val="single" w:color="auto" w:sz="4" w:space="0"/>
              <w:right w:val="single" w:color="auto" w:sz="4" w:space="0"/>
            </w:tcBorders>
            <w:noWrap/>
            <w:vAlign w:val="center"/>
          </w:tcPr>
          <w:p w14:paraId="5403CD77">
            <w:pPr>
              <w:widowControl/>
              <w:jc w:val="center"/>
              <w:rPr>
                <w:rFonts w:ascii="Times New Roman" w:hAnsi="Times New Roman" w:eastAsia="宋体" w:cs="宋体"/>
                <w:b/>
                <w:bCs/>
                <w:kern w:val="0"/>
                <w14:ligatures w14:val="none"/>
              </w:rPr>
            </w:pPr>
            <w:r>
              <w:rPr>
                <w:rFonts w:hint="eastAsia" w:ascii="Times New Roman" w:hAnsi="Times New Roman" w:eastAsia="宋体" w:cs="宋体"/>
                <w:b/>
                <w:bCs/>
                <w:kern w:val="0"/>
                <w14:ligatures w14:val="none"/>
              </w:rPr>
              <w:t>工具实操</w:t>
            </w:r>
          </w:p>
        </w:tc>
        <w:tc>
          <w:tcPr>
            <w:tcW w:w="539" w:type="pct"/>
            <w:tcBorders>
              <w:top w:val="nil"/>
              <w:left w:val="nil"/>
              <w:bottom w:val="single" w:color="auto" w:sz="4" w:space="0"/>
              <w:right w:val="single" w:color="auto" w:sz="4" w:space="0"/>
            </w:tcBorders>
            <w:noWrap/>
            <w:vAlign w:val="center"/>
          </w:tcPr>
          <w:p w14:paraId="30EE2333">
            <w:pPr>
              <w:widowControl/>
              <w:jc w:val="center"/>
              <w:rPr>
                <w:rFonts w:ascii="Times New Roman" w:hAnsi="Times New Roman" w:eastAsia="宋体" w:cs="宋体"/>
                <w:kern w:val="0"/>
                <w14:ligatures w14:val="none"/>
              </w:rPr>
            </w:pPr>
            <w:r>
              <w:rPr>
                <w:rFonts w:hint="eastAsia" w:ascii="Times New Roman" w:hAnsi="Times New Roman" w:eastAsia="宋体" w:cs="宋体"/>
                <w:kern w:val="0"/>
                <w14:ligatures w14:val="none"/>
              </w:rPr>
              <w:t>76</w:t>
            </w:r>
          </w:p>
        </w:tc>
        <w:tc>
          <w:tcPr>
            <w:tcW w:w="539" w:type="pct"/>
            <w:tcBorders>
              <w:top w:val="nil"/>
              <w:left w:val="nil"/>
              <w:bottom w:val="single" w:color="auto" w:sz="4" w:space="0"/>
              <w:right w:val="single" w:color="auto" w:sz="4" w:space="0"/>
            </w:tcBorders>
            <w:noWrap/>
            <w:vAlign w:val="center"/>
          </w:tcPr>
          <w:p w14:paraId="3AC9349E">
            <w:pPr>
              <w:widowControl/>
              <w:jc w:val="center"/>
              <w:rPr>
                <w:rFonts w:ascii="Times New Roman" w:hAnsi="Times New Roman" w:eastAsia="宋体" w:cs="宋体"/>
                <w:kern w:val="0"/>
                <w14:ligatures w14:val="none"/>
              </w:rPr>
            </w:pPr>
            <w:r>
              <w:rPr>
                <w:rFonts w:hint="eastAsia" w:ascii="Times New Roman" w:hAnsi="Times New Roman" w:eastAsia="宋体" w:cs="宋体"/>
                <w:kern w:val="0"/>
                <w14:ligatures w14:val="none"/>
              </w:rPr>
              <w:t>70</w:t>
            </w:r>
          </w:p>
        </w:tc>
        <w:tc>
          <w:tcPr>
            <w:tcW w:w="1043" w:type="pct"/>
            <w:tcBorders>
              <w:top w:val="nil"/>
              <w:left w:val="nil"/>
              <w:bottom w:val="single" w:color="auto" w:sz="4" w:space="0"/>
              <w:right w:val="single" w:color="auto" w:sz="4" w:space="0"/>
            </w:tcBorders>
            <w:noWrap/>
            <w:vAlign w:val="center"/>
          </w:tcPr>
          <w:p w14:paraId="53F46A1D">
            <w:pPr>
              <w:widowControl/>
              <w:jc w:val="center"/>
              <w:rPr>
                <w:rFonts w:ascii="Times New Roman" w:hAnsi="Times New Roman" w:eastAsia="宋体" w:cs="宋体"/>
                <w:kern w:val="0"/>
                <w14:ligatures w14:val="none"/>
              </w:rPr>
            </w:pPr>
            <w:r>
              <w:rPr>
                <w:rFonts w:hint="eastAsia" w:ascii="Times New Roman" w:hAnsi="Times New Roman" w:eastAsia="宋体" w:cs="宋体"/>
                <w:kern w:val="0"/>
                <w14:ligatures w14:val="none"/>
              </w:rPr>
              <w:t>　</w:t>
            </w:r>
          </w:p>
        </w:tc>
        <w:tc>
          <w:tcPr>
            <w:tcW w:w="1043" w:type="pct"/>
            <w:tcBorders>
              <w:top w:val="nil"/>
              <w:left w:val="nil"/>
              <w:bottom w:val="single" w:color="auto" w:sz="4" w:space="0"/>
              <w:right w:val="single" w:color="auto" w:sz="4" w:space="0"/>
            </w:tcBorders>
            <w:noWrap/>
            <w:vAlign w:val="center"/>
          </w:tcPr>
          <w:p w14:paraId="6297B6C5">
            <w:pPr>
              <w:widowControl/>
              <w:jc w:val="center"/>
              <w:rPr>
                <w:rFonts w:ascii="Times New Roman" w:hAnsi="Times New Roman" w:eastAsia="宋体" w:cs="宋体"/>
                <w:kern w:val="0"/>
                <w14:ligatures w14:val="none"/>
              </w:rPr>
            </w:pPr>
            <w:r>
              <w:rPr>
                <w:rFonts w:hint="eastAsia" w:ascii="Times New Roman" w:hAnsi="Times New Roman" w:eastAsia="宋体" w:cs="宋体"/>
                <w:kern w:val="0"/>
                <w14:ligatures w14:val="none"/>
              </w:rPr>
              <w:t>　</w:t>
            </w:r>
          </w:p>
        </w:tc>
        <w:tc>
          <w:tcPr>
            <w:tcW w:w="792" w:type="pct"/>
            <w:vMerge w:val="continue"/>
            <w:tcBorders>
              <w:top w:val="nil"/>
              <w:left w:val="single" w:color="auto" w:sz="4" w:space="0"/>
              <w:bottom w:val="single" w:color="auto" w:sz="4" w:space="0"/>
              <w:right w:val="single" w:color="auto" w:sz="4" w:space="0"/>
            </w:tcBorders>
            <w:vAlign w:val="center"/>
          </w:tcPr>
          <w:p w14:paraId="714B9468">
            <w:pPr>
              <w:widowControl/>
              <w:jc w:val="left"/>
              <w:rPr>
                <w:rFonts w:ascii="Times New Roman" w:hAnsi="Times New Roman" w:eastAsia="宋体" w:cs="宋体"/>
                <w:kern w:val="0"/>
                <w14:ligatures w14:val="none"/>
              </w:rPr>
            </w:pPr>
          </w:p>
        </w:tc>
      </w:tr>
    </w:tbl>
    <w:p w14:paraId="1936D6FB">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isplayHorizontalDrawingGridEvery w:val="0"/>
  <w:displayVerticalDrawingGridEvery w:val="2"/>
  <w:characterSpacingControl w:val="doNotCompress"/>
  <w:compat>
    <w:balanceSingleByteDoubleByteWidth/>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306A"/>
    <w:rsid w:val="00000552"/>
    <w:rsid w:val="000059E8"/>
    <w:rsid w:val="00010734"/>
    <w:rsid w:val="00011567"/>
    <w:rsid w:val="00012D01"/>
    <w:rsid w:val="00017A3D"/>
    <w:rsid w:val="000245C4"/>
    <w:rsid w:val="00031F34"/>
    <w:rsid w:val="00041FB2"/>
    <w:rsid w:val="00046EC5"/>
    <w:rsid w:val="000536FB"/>
    <w:rsid w:val="00054CA0"/>
    <w:rsid w:val="00056A30"/>
    <w:rsid w:val="0005771F"/>
    <w:rsid w:val="00064BC4"/>
    <w:rsid w:val="0006658B"/>
    <w:rsid w:val="000746E3"/>
    <w:rsid w:val="000831FB"/>
    <w:rsid w:val="00087E60"/>
    <w:rsid w:val="0009130E"/>
    <w:rsid w:val="000976A5"/>
    <w:rsid w:val="000978E9"/>
    <w:rsid w:val="000B26EA"/>
    <w:rsid w:val="000B2F2B"/>
    <w:rsid w:val="000B7552"/>
    <w:rsid w:val="000B79F6"/>
    <w:rsid w:val="000B7D2F"/>
    <w:rsid w:val="000C0F9D"/>
    <w:rsid w:val="000C750C"/>
    <w:rsid w:val="000D057A"/>
    <w:rsid w:val="000D24A4"/>
    <w:rsid w:val="000D31ED"/>
    <w:rsid w:val="000D3213"/>
    <w:rsid w:val="000D733D"/>
    <w:rsid w:val="000E2AE5"/>
    <w:rsid w:val="000E48EF"/>
    <w:rsid w:val="000E4A51"/>
    <w:rsid w:val="000E7576"/>
    <w:rsid w:val="000F2D15"/>
    <w:rsid w:val="000F40A0"/>
    <w:rsid w:val="000F55ED"/>
    <w:rsid w:val="000F7355"/>
    <w:rsid w:val="000F7B11"/>
    <w:rsid w:val="001026D8"/>
    <w:rsid w:val="00106B7B"/>
    <w:rsid w:val="001074F5"/>
    <w:rsid w:val="00107994"/>
    <w:rsid w:val="0011002B"/>
    <w:rsid w:val="001114E3"/>
    <w:rsid w:val="00112DA3"/>
    <w:rsid w:val="001138A7"/>
    <w:rsid w:val="00115E95"/>
    <w:rsid w:val="00122A0D"/>
    <w:rsid w:val="0012715E"/>
    <w:rsid w:val="001305E9"/>
    <w:rsid w:val="001324F0"/>
    <w:rsid w:val="001324F3"/>
    <w:rsid w:val="00136A5E"/>
    <w:rsid w:val="00137017"/>
    <w:rsid w:val="00140D8A"/>
    <w:rsid w:val="0014590F"/>
    <w:rsid w:val="0015419D"/>
    <w:rsid w:val="00155BF5"/>
    <w:rsid w:val="0016682A"/>
    <w:rsid w:val="00173D7A"/>
    <w:rsid w:val="00182BFE"/>
    <w:rsid w:val="00185681"/>
    <w:rsid w:val="00191485"/>
    <w:rsid w:val="00192669"/>
    <w:rsid w:val="00192858"/>
    <w:rsid w:val="001939C2"/>
    <w:rsid w:val="00195191"/>
    <w:rsid w:val="0019743D"/>
    <w:rsid w:val="001A0B83"/>
    <w:rsid w:val="001A67EF"/>
    <w:rsid w:val="001B0B0E"/>
    <w:rsid w:val="001B74E3"/>
    <w:rsid w:val="001C2767"/>
    <w:rsid w:val="001C34A9"/>
    <w:rsid w:val="001D165B"/>
    <w:rsid w:val="001D52AC"/>
    <w:rsid w:val="001D7B36"/>
    <w:rsid w:val="001E2317"/>
    <w:rsid w:val="001F1B18"/>
    <w:rsid w:val="00203E95"/>
    <w:rsid w:val="00207B2F"/>
    <w:rsid w:val="00222C21"/>
    <w:rsid w:val="00223BE1"/>
    <w:rsid w:val="0022527B"/>
    <w:rsid w:val="0022591E"/>
    <w:rsid w:val="00227FBA"/>
    <w:rsid w:val="00230A6B"/>
    <w:rsid w:val="0023739B"/>
    <w:rsid w:val="00245976"/>
    <w:rsid w:val="00253A8B"/>
    <w:rsid w:val="00254D27"/>
    <w:rsid w:val="00261802"/>
    <w:rsid w:val="00262BBF"/>
    <w:rsid w:val="00270F9B"/>
    <w:rsid w:val="0027327B"/>
    <w:rsid w:val="00277BA7"/>
    <w:rsid w:val="00280150"/>
    <w:rsid w:val="00281C74"/>
    <w:rsid w:val="0028257B"/>
    <w:rsid w:val="00282A5B"/>
    <w:rsid w:val="00284C72"/>
    <w:rsid w:val="002900FD"/>
    <w:rsid w:val="0029252D"/>
    <w:rsid w:val="002A0CA0"/>
    <w:rsid w:val="002A313C"/>
    <w:rsid w:val="002A412C"/>
    <w:rsid w:val="002B439F"/>
    <w:rsid w:val="002C2BAD"/>
    <w:rsid w:val="002C4839"/>
    <w:rsid w:val="002C5B72"/>
    <w:rsid w:val="002D3250"/>
    <w:rsid w:val="002D504B"/>
    <w:rsid w:val="002D74EE"/>
    <w:rsid w:val="002E0266"/>
    <w:rsid w:val="002E1A90"/>
    <w:rsid w:val="003003F5"/>
    <w:rsid w:val="00300FA9"/>
    <w:rsid w:val="0030355D"/>
    <w:rsid w:val="003050A3"/>
    <w:rsid w:val="00306382"/>
    <w:rsid w:val="00307187"/>
    <w:rsid w:val="00307433"/>
    <w:rsid w:val="003110FF"/>
    <w:rsid w:val="00321BA2"/>
    <w:rsid w:val="003241E9"/>
    <w:rsid w:val="003314EC"/>
    <w:rsid w:val="00332CB7"/>
    <w:rsid w:val="003355EF"/>
    <w:rsid w:val="00336B28"/>
    <w:rsid w:val="003400BC"/>
    <w:rsid w:val="003404EA"/>
    <w:rsid w:val="00341597"/>
    <w:rsid w:val="00361714"/>
    <w:rsid w:val="00362079"/>
    <w:rsid w:val="00362A08"/>
    <w:rsid w:val="003640DA"/>
    <w:rsid w:val="00364AD4"/>
    <w:rsid w:val="00364DCF"/>
    <w:rsid w:val="003673FF"/>
    <w:rsid w:val="00372345"/>
    <w:rsid w:val="0037296E"/>
    <w:rsid w:val="00375529"/>
    <w:rsid w:val="00382D61"/>
    <w:rsid w:val="00384293"/>
    <w:rsid w:val="00396D0F"/>
    <w:rsid w:val="00396F14"/>
    <w:rsid w:val="00397E28"/>
    <w:rsid w:val="003A1E92"/>
    <w:rsid w:val="003A22F0"/>
    <w:rsid w:val="003A4B84"/>
    <w:rsid w:val="003A4E77"/>
    <w:rsid w:val="003A5F1D"/>
    <w:rsid w:val="003A731D"/>
    <w:rsid w:val="003A7710"/>
    <w:rsid w:val="003B1B4A"/>
    <w:rsid w:val="003B3795"/>
    <w:rsid w:val="003B57D0"/>
    <w:rsid w:val="003C205B"/>
    <w:rsid w:val="003C3449"/>
    <w:rsid w:val="003C5B94"/>
    <w:rsid w:val="003D1956"/>
    <w:rsid w:val="003D4258"/>
    <w:rsid w:val="003E38FD"/>
    <w:rsid w:val="003F5850"/>
    <w:rsid w:val="00404EFB"/>
    <w:rsid w:val="0041622C"/>
    <w:rsid w:val="00421203"/>
    <w:rsid w:val="00421AC4"/>
    <w:rsid w:val="0042630B"/>
    <w:rsid w:val="004310F9"/>
    <w:rsid w:val="0043252C"/>
    <w:rsid w:val="0043563E"/>
    <w:rsid w:val="004366EA"/>
    <w:rsid w:val="00440853"/>
    <w:rsid w:val="004550F8"/>
    <w:rsid w:val="00456032"/>
    <w:rsid w:val="00457EBE"/>
    <w:rsid w:val="00462D38"/>
    <w:rsid w:val="00471BF7"/>
    <w:rsid w:val="0047685C"/>
    <w:rsid w:val="00485741"/>
    <w:rsid w:val="00485FF2"/>
    <w:rsid w:val="00491604"/>
    <w:rsid w:val="004954C6"/>
    <w:rsid w:val="0049788D"/>
    <w:rsid w:val="004A004E"/>
    <w:rsid w:val="004A0F01"/>
    <w:rsid w:val="004A2ECA"/>
    <w:rsid w:val="004A32EA"/>
    <w:rsid w:val="004A587E"/>
    <w:rsid w:val="004B0D26"/>
    <w:rsid w:val="004B2976"/>
    <w:rsid w:val="004C155E"/>
    <w:rsid w:val="004C16BF"/>
    <w:rsid w:val="004C4685"/>
    <w:rsid w:val="004C502A"/>
    <w:rsid w:val="004C506C"/>
    <w:rsid w:val="004C7BC4"/>
    <w:rsid w:val="004D1893"/>
    <w:rsid w:val="004D3814"/>
    <w:rsid w:val="004E3273"/>
    <w:rsid w:val="004E32DC"/>
    <w:rsid w:val="004E43BE"/>
    <w:rsid w:val="004E61CE"/>
    <w:rsid w:val="004F0DF1"/>
    <w:rsid w:val="004F2077"/>
    <w:rsid w:val="004F6139"/>
    <w:rsid w:val="00500348"/>
    <w:rsid w:val="00502406"/>
    <w:rsid w:val="00503055"/>
    <w:rsid w:val="00506AAC"/>
    <w:rsid w:val="0051580A"/>
    <w:rsid w:val="00515FB1"/>
    <w:rsid w:val="00516B3F"/>
    <w:rsid w:val="00517C06"/>
    <w:rsid w:val="00522A45"/>
    <w:rsid w:val="00523D87"/>
    <w:rsid w:val="00533DC2"/>
    <w:rsid w:val="005428C1"/>
    <w:rsid w:val="00543939"/>
    <w:rsid w:val="00544F3D"/>
    <w:rsid w:val="005457C3"/>
    <w:rsid w:val="00552077"/>
    <w:rsid w:val="00552841"/>
    <w:rsid w:val="005629B3"/>
    <w:rsid w:val="00563116"/>
    <w:rsid w:val="0056609C"/>
    <w:rsid w:val="0057056D"/>
    <w:rsid w:val="005749BE"/>
    <w:rsid w:val="005840BC"/>
    <w:rsid w:val="0058593A"/>
    <w:rsid w:val="0058711F"/>
    <w:rsid w:val="005A154F"/>
    <w:rsid w:val="005B2D5A"/>
    <w:rsid w:val="005C1069"/>
    <w:rsid w:val="005C3AAF"/>
    <w:rsid w:val="005C3C84"/>
    <w:rsid w:val="005D2E4A"/>
    <w:rsid w:val="005D6762"/>
    <w:rsid w:val="005E0B35"/>
    <w:rsid w:val="005E2593"/>
    <w:rsid w:val="005E5E53"/>
    <w:rsid w:val="005E7A4C"/>
    <w:rsid w:val="005F10DA"/>
    <w:rsid w:val="0060523F"/>
    <w:rsid w:val="00606274"/>
    <w:rsid w:val="0060660F"/>
    <w:rsid w:val="00610A30"/>
    <w:rsid w:val="00612D66"/>
    <w:rsid w:val="00622209"/>
    <w:rsid w:val="006245F1"/>
    <w:rsid w:val="00625097"/>
    <w:rsid w:val="00626AC4"/>
    <w:rsid w:val="00630A88"/>
    <w:rsid w:val="00631F8F"/>
    <w:rsid w:val="00632D20"/>
    <w:rsid w:val="0063764A"/>
    <w:rsid w:val="00637FAF"/>
    <w:rsid w:val="00640251"/>
    <w:rsid w:val="006408C8"/>
    <w:rsid w:val="00641934"/>
    <w:rsid w:val="00647E14"/>
    <w:rsid w:val="00650FB7"/>
    <w:rsid w:val="00652D2E"/>
    <w:rsid w:val="00657D81"/>
    <w:rsid w:val="00662BA5"/>
    <w:rsid w:val="006645B8"/>
    <w:rsid w:val="006671FF"/>
    <w:rsid w:val="00671BF3"/>
    <w:rsid w:val="00677122"/>
    <w:rsid w:val="00692059"/>
    <w:rsid w:val="006A2B67"/>
    <w:rsid w:val="006B1109"/>
    <w:rsid w:val="006B4A58"/>
    <w:rsid w:val="006C03DF"/>
    <w:rsid w:val="006C4683"/>
    <w:rsid w:val="006C5E79"/>
    <w:rsid w:val="006C617D"/>
    <w:rsid w:val="006D6101"/>
    <w:rsid w:val="006E0037"/>
    <w:rsid w:val="006E65E7"/>
    <w:rsid w:val="006F00FA"/>
    <w:rsid w:val="006F1ECD"/>
    <w:rsid w:val="006F6791"/>
    <w:rsid w:val="0070588E"/>
    <w:rsid w:val="007062B1"/>
    <w:rsid w:val="00720A28"/>
    <w:rsid w:val="00722B07"/>
    <w:rsid w:val="00726734"/>
    <w:rsid w:val="007269C1"/>
    <w:rsid w:val="007339BC"/>
    <w:rsid w:val="00754101"/>
    <w:rsid w:val="00757095"/>
    <w:rsid w:val="00763CE1"/>
    <w:rsid w:val="00765A54"/>
    <w:rsid w:val="00765BDA"/>
    <w:rsid w:val="00773EDD"/>
    <w:rsid w:val="00776049"/>
    <w:rsid w:val="00776E4C"/>
    <w:rsid w:val="00777E45"/>
    <w:rsid w:val="00780DBE"/>
    <w:rsid w:val="0078218C"/>
    <w:rsid w:val="00782F60"/>
    <w:rsid w:val="00787B48"/>
    <w:rsid w:val="00787BF2"/>
    <w:rsid w:val="007937C6"/>
    <w:rsid w:val="00795996"/>
    <w:rsid w:val="00796103"/>
    <w:rsid w:val="007A0342"/>
    <w:rsid w:val="007B26E9"/>
    <w:rsid w:val="007B457C"/>
    <w:rsid w:val="007B56F5"/>
    <w:rsid w:val="007B75F8"/>
    <w:rsid w:val="007C2351"/>
    <w:rsid w:val="007D51C4"/>
    <w:rsid w:val="007D618D"/>
    <w:rsid w:val="007E0B42"/>
    <w:rsid w:val="007E3A9C"/>
    <w:rsid w:val="007F2F2B"/>
    <w:rsid w:val="007F7B9E"/>
    <w:rsid w:val="007F7D34"/>
    <w:rsid w:val="00800353"/>
    <w:rsid w:val="0080334D"/>
    <w:rsid w:val="008036B8"/>
    <w:rsid w:val="00803D39"/>
    <w:rsid w:val="0080645B"/>
    <w:rsid w:val="00814E6D"/>
    <w:rsid w:val="008215B7"/>
    <w:rsid w:val="00821610"/>
    <w:rsid w:val="008235F3"/>
    <w:rsid w:val="008239CE"/>
    <w:rsid w:val="0082438D"/>
    <w:rsid w:val="00831ADA"/>
    <w:rsid w:val="00834055"/>
    <w:rsid w:val="00837C9A"/>
    <w:rsid w:val="00846A2E"/>
    <w:rsid w:val="008513CF"/>
    <w:rsid w:val="008517CD"/>
    <w:rsid w:val="00852638"/>
    <w:rsid w:val="008551BD"/>
    <w:rsid w:val="00856603"/>
    <w:rsid w:val="0086097E"/>
    <w:rsid w:val="00861E5E"/>
    <w:rsid w:val="00864960"/>
    <w:rsid w:val="00866AF9"/>
    <w:rsid w:val="008675E5"/>
    <w:rsid w:val="00872777"/>
    <w:rsid w:val="0088057B"/>
    <w:rsid w:val="0089015A"/>
    <w:rsid w:val="0089656D"/>
    <w:rsid w:val="008A1BD0"/>
    <w:rsid w:val="008B6D47"/>
    <w:rsid w:val="008B6F0E"/>
    <w:rsid w:val="008C3CAB"/>
    <w:rsid w:val="008C5A58"/>
    <w:rsid w:val="008D0F5F"/>
    <w:rsid w:val="008D20FF"/>
    <w:rsid w:val="008E19E1"/>
    <w:rsid w:val="008F1050"/>
    <w:rsid w:val="008F386E"/>
    <w:rsid w:val="0090134D"/>
    <w:rsid w:val="009044E9"/>
    <w:rsid w:val="0091102F"/>
    <w:rsid w:val="0091134A"/>
    <w:rsid w:val="00914E96"/>
    <w:rsid w:val="009168BB"/>
    <w:rsid w:val="00916C3A"/>
    <w:rsid w:val="009203CC"/>
    <w:rsid w:val="00925113"/>
    <w:rsid w:val="0092773E"/>
    <w:rsid w:val="009314FA"/>
    <w:rsid w:val="00933710"/>
    <w:rsid w:val="00936A6F"/>
    <w:rsid w:val="00937FB9"/>
    <w:rsid w:val="00940E0C"/>
    <w:rsid w:val="009477AC"/>
    <w:rsid w:val="00951391"/>
    <w:rsid w:val="00951C52"/>
    <w:rsid w:val="009540FF"/>
    <w:rsid w:val="009622AA"/>
    <w:rsid w:val="009670B3"/>
    <w:rsid w:val="00970A4E"/>
    <w:rsid w:val="009714BC"/>
    <w:rsid w:val="00972527"/>
    <w:rsid w:val="00977FC5"/>
    <w:rsid w:val="00985079"/>
    <w:rsid w:val="00985605"/>
    <w:rsid w:val="00985E04"/>
    <w:rsid w:val="00990002"/>
    <w:rsid w:val="00992E5A"/>
    <w:rsid w:val="00994858"/>
    <w:rsid w:val="009968C1"/>
    <w:rsid w:val="009B590E"/>
    <w:rsid w:val="009D583A"/>
    <w:rsid w:val="009D76DF"/>
    <w:rsid w:val="009E3386"/>
    <w:rsid w:val="009E6F41"/>
    <w:rsid w:val="009F280F"/>
    <w:rsid w:val="009F2B39"/>
    <w:rsid w:val="009F6566"/>
    <w:rsid w:val="009F719B"/>
    <w:rsid w:val="00A000EF"/>
    <w:rsid w:val="00A033BD"/>
    <w:rsid w:val="00A04A35"/>
    <w:rsid w:val="00A06E74"/>
    <w:rsid w:val="00A10FED"/>
    <w:rsid w:val="00A16D17"/>
    <w:rsid w:val="00A23C73"/>
    <w:rsid w:val="00A25112"/>
    <w:rsid w:val="00A34C30"/>
    <w:rsid w:val="00A3747A"/>
    <w:rsid w:val="00A40970"/>
    <w:rsid w:val="00A432EA"/>
    <w:rsid w:val="00A43A20"/>
    <w:rsid w:val="00A458D8"/>
    <w:rsid w:val="00A505EB"/>
    <w:rsid w:val="00A61E54"/>
    <w:rsid w:val="00A622E1"/>
    <w:rsid w:val="00A6243F"/>
    <w:rsid w:val="00A63B81"/>
    <w:rsid w:val="00A6640D"/>
    <w:rsid w:val="00A70B51"/>
    <w:rsid w:val="00A77A12"/>
    <w:rsid w:val="00A77AEB"/>
    <w:rsid w:val="00A81136"/>
    <w:rsid w:val="00A8306A"/>
    <w:rsid w:val="00A93210"/>
    <w:rsid w:val="00A9502B"/>
    <w:rsid w:val="00AA1183"/>
    <w:rsid w:val="00AA2DB4"/>
    <w:rsid w:val="00AA3E9A"/>
    <w:rsid w:val="00AA696B"/>
    <w:rsid w:val="00AB3831"/>
    <w:rsid w:val="00AB4AA5"/>
    <w:rsid w:val="00AB4DDF"/>
    <w:rsid w:val="00AC090B"/>
    <w:rsid w:val="00AC1DDB"/>
    <w:rsid w:val="00AC2B13"/>
    <w:rsid w:val="00AD233D"/>
    <w:rsid w:val="00AD5FF7"/>
    <w:rsid w:val="00AE0218"/>
    <w:rsid w:val="00AE181C"/>
    <w:rsid w:val="00AE4F92"/>
    <w:rsid w:val="00AF04BA"/>
    <w:rsid w:val="00AF33C8"/>
    <w:rsid w:val="00AF3722"/>
    <w:rsid w:val="00AF3BF3"/>
    <w:rsid w:val="00AF72B0"/>
    <w:rsid w:val="00AF7354"/>
    <w:rsid w:val="00AF751E"/>
    <w:rsid w:val="00B0196B"/>
    <w:rsid w:val="00B03941"/>
    <w:rsid w:val="00B05DC7"/>
    <w:rsid w:val="00B25612"/>
    <w:rsid w:val="00B27C37"/>
    <w:rsid w:val="00B313DC"/>
    <w:rsid w:val="00B326D4"/>
    <w:rsid w:val="00B336DB"/>
    <w:rsid w:val="00B35038"/>
    <w:rsid w:val="00B43304"/>
    <w:rsid w:val="00B44647"/>
    <w:rsid w:val="00B468E2"/>
    <w:rsid w:val="00B51DC5"/>
    <w:rsid w:val="00B606D2"/>
    <w:rsid w:val="00B61432"/>
    <w:rsid w:val="00B638B2"/>
    <w:rsid w:val="00B70ABA"/>
    <w:rsid w:val="00B72DD5"/>
    <w:rsid w:val="00B74756"/>
    <w:rsid w:val="00B77FA6"/>
    <w:rsid w:val="00B81F94"/>
    <w:rsid w:val="00B82780"/>
    <w:rsid w:val="00B9040C"/>
    <w:rsid w:val="00BB14AB"/>
    <w:rsid w:val="00BB14D7"/>
    <w:rsid w:val="00BB22AD"/>
    <w:rsid w:val="00BB2ACA"/>
    <w:rsid w:val="00BB7B90"/>
    <w:rsid w:val="00BC337F"/>
    <w:rsid w:val="00BC4763"/>
    <w:rsid w:val="00BC6EF6"/>
    <w:rsid w:val="00BC75AB"/>
    <w:rsid w:val="00BD27E9"/>
    <w:rsid w:val="00BE0C28"/>
    <w:rsid w:val="00BE2987"/>
    <w:rsid w:val="00BE5BED"/>
    <w:rsid w:val="00BF27C7"/>
    <w:rsid w:val="00BF6EBF"/>
    <w:rsid w:val="00C147F5"/>
    <w:rsid w:val="00C215C2"/>
    <w:rsid w:val="00C21941"/>
    <w:rsid w:val="00C249BE"/>
    <w:rsid w:val="00C314AF"/>
    <w:rsid w:val="00C328B6"/>
    <w:rsid w:val="00C37631"/>
    <w:rsid w:val="00C40552"/>
    <w:rsid w:val="00C449CF"/>
    <w:rsid w:val="00C507E1"/>
    <w:rsid w:val="00C54BFE"/>
    <w:rsid w:val="00C5756B"/>
    <w:rsid w:val="00C61FF8"/>
    <w:rsid w:val="00C73A24"/>
    <w:rsid w:val="00C744C2"/>
    <w:rsid w:val="00C74C2C"/>
    <w:rsid w:val="00C74E17"/>
    <w:rsid w:val="00C77D91"/>
    <w:rsid w:val="00C77DF1"/>
    <w:rsid w:val="00C87100"/>
    <w:rsid w:val="00C872FE"/>
    <w:rsid w:val="00C93384"/>
    <w:rsid w:val="00C943CB"/>
    <w:rsid w:val="00CA2D19"/>
    <w:rsid w:val="00CA75C4"/>
    <w:rsid w:val="00CB0B64"/>
    <w:rsid w:val="00CB2C4D"/>
    <w:rsid w:val="00CB3496"/>
    <w:rsid w:val="00CC2EB8"/>
    <w:rsid w:val="00CC7ED1"/>
    <w:rsid w:val="00CD5DCD"/>
    <w:rsid w:val="00CD6513"/>
    <w:rsid w:val="00CD6CEA"/>
    <w:rsid w:val="00CE03AE"/>
    <w:rsid w:val="00CE34AE"/>
    <w:rsid w:val="00CE7C3C"/>
    <w:rsid w:val="00CF2275"/>
    <w:rsid w:val="00CF64F5"/>
    <w:rsid w:val="00D0185F"/>
    <w:rsid w:val="00D033C5"/>
    <w:rsid w:val="00D11078"/>
    <w:rsid w:val="00D138A4"/>
    <w:rsid w:val="00D15402"/>
    <w:rsid w:val="00D204A0"/>
    <w:rsid w:val="00D3075E"/>
    <w:rsid w:val="00D316B3"/>
    <w:rsid w:val="00D3463C"/>
    <w:rsid w:val="00D46562"/>
    <w:rsid w:val="00D47202"/>
    <w:rsid w:val="00D47A0C"/>
    <w:rsid w:val="00D50A8A"/>
    <w:rsid w:val="00D544A7"/>
    <w:rsid w:val="00D55542"/>
    <w:rsid w:val="00D55DA1"/>
    <w:rsid w:val="00D638FC"/>
    <w:rsid w:val="00D94633"/>
    <w:rsid w:val="00D96AB4"/>
    <w:rsid w:val="00DA0828"/>
    <w:rsid w:val="00DA0B37"/>
    <w:rsid w:val="00DB2CB6"/>
    <w:rsid w:val="00DB4DAF"/>
    <w:rsid w:val="00DB6483"/>
    <w:rsid w:val="00DB6E32"/>
    <w:rsid w:val="00DC076C"/>
    <w:rsid w:val="00DC7011"/>
    <w:rsid w:val="00DD1B39"/>
    <w:rsid w:val="00DD638C"/>
    <w:rsid w:val="00DE15A4"/>
    <w:rsid w:val="00DE495B"/>
    <w:rsid w:val="00DE51FF"/>
    <w:rsid w:val="00DE6C40"/>
    <w:rsid w:val="00DE79BD"/>
    <w:rsid w:val="00DF60F4"/>
    <w:rsid w:val="00DF77B6"/>
    <w:rsid w:val="00E157DB"/>
    <w:rsid w:val="00E163A1"/>
    <w:rsid w:val="00E402A0"/>
    <w:rsid w:val="00E465B6"/>
    <w:rsid w:val="00E46814"/>
    <w:rsid w:val="00E5163A"/>
    <w:rsid w:val="00E5633B"/>
    <w:rsid w:val="00E56B0A"/>
    <w:rsid w:val="00E67DA7"/>
    <w:rsid w:val="00E70E5B"/>
    <w:rsid w:val="00E71537"/>
    <w:rsid w:val="00E7431F"/>
    <w:rsid w:val="00E76615"/>
    <w:rsid w:val="00E80680"/>
    <w:rsid w:val="00E81314"/>
    <w:rsid w:val="00E8206E"/>
    <w:rsid w:val="00E873CD"/>
    <w:rsid w:val="00EA797F"/>
    <w:rsid w:val="00EB08EA"/>
    <w:rsid w:val="00EB1680"/>
    <w:rsid w:val="00EB58A6"/>
    <w:rsid w:val="00EB77F5"/>
    <w:rsid w:val="00EC1503"/>
    <w:rsid w:val="00ED12CB"/>
    <w:rsid w:val="00EE531B"/>
    <w:rsid w:val="00F0119A"/>
    <w:rsid w:val="00F0135D"/>
    <w:rsid w:val="00F060C5"/>
    <w:rsid w:val="00F06616"/>
    <w:rsid w:val="00F1392D"/>
    <w:rsid w:val="00F153DE"/>
    <w:rsid w:val="00F160E1"/>
    <w:rsid w:val="00F279D6"/>
    <w:rsid w:val="00F27D76"/>
    <w:rsid w:val="00F32AEB"/>
    <w:rsid w:val="00F351B4"/>
    <w:rsid w:val="00F35FD0"/>
    <w:rsid w:val="00F46A6F"/>
    <w:rsid w:val="00F518E0"/>
    <w:rsid w:val="00F53409"/>
    <w:rsid w:val="00F55FA3"/>
    <w:rsid w:val="00F57DCA"/>
    <w:rsid w:val="00F57F59"/>
    <w:rsid w:val="00F60920"/>
    <w:rsid w:val="00F63438"/>
    <w:rsid w:val="00F642D7"/>
    <w:rsid w:val="00F65558"/>
    <w:rsid w:val="00F7112B"/>
    <w:rsid w:val="00F764C7"/>
    <w:rsid w:val="00F853B5"/>
    <w:rsid w:val="00F86F99"/>
    <w:rsid w:val="00F95285"/>
    <w:rsid w:val="00FA7E66"/>
    <w:rsid w:val="00FB07FD"/>
    <w:rsid w:val="00FB1B31"/>
    <w:rsid w:val="00FB5C2E"/>
    <w:rsid w:val="00FB6B27"/>
    <w:rsid w:val="00FC25EA"/>
    <w:rsid w:val="00FC43F2"/>
    <w:rsid w:val="00FC6EAE"/>
    <w:rsid w:val="00FC787B"/>
    <w:rsid w:val="00FD0ACE"/>
    <w:rsid w:val="00FD15B4"/>
    <w:rsid w:val="00FD3AE2"/>
    <w:rsid w:val="00FD574A"/>
    <w:rsid w:val="00FE0A9E"/>
    <w:rsid w:val="00FE3749"/>
    <w:rsid w:val="00FE4625"/>
    <w:rsid w:val="00FE4B0A"/>
    <w:rsid w:val="00FE5CCB"/>
    <w:rsid w:val="00FE7E57"/>
    <w:rsid w:val="00FF0BB9"/>
    <w:rsid w:val="00FF6040"/>
    <w:rsid w:val="5B764B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styleId="2">
    <w:name w:val="heading 1"/>
    <w:basedOn w:val="1"/>
    <w:next w:val="1"/>
    <w:link w:val="18"/>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9"/>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0"/>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1"/>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2"/>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3"/>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4"/>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5"/>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6"/>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11">
    <w:name w:val="toc 3"/>
    <w:basedOn w:val="1"/>
    <w:next w:val="1"/>
    <w:autoRedefine/>
    <w:unhideWhenUsed/>
    <w:qFormat/>
    <w:uiPriority w:val="39"/>
    <w:pPr>
      <w:spacing w:line="360" w:lineRule="auto"/>
      <w:ind w:left="400" w:leftChars="400"/>
    </w:pPr>
    <w:rPr>
      <w:rFonts w:ascii="Times New Roman" w:hAnsi="Times New Roman" w:eastAsia="宋体"/>
      <w:sz w:val="24"/>
    </w:rPr>
  </w:style>
  <w:style w:type="paragraph" w:styleId="12">
    <w:name w:val="toc 1"/>
    <w:basedOn w:val="1"/>
    <w:next w:val="1"/>
    <w:autoRedefine/>
    <w:unhideWhenUsed/>
    <w:qFormat/>
    <w:uiPriority w:val="39"/>
    <w:pPr>
      <w:spacing w:line="360" w:lineRule="auto"/>
      <w:jc w:val="left"/>
    </w:pPr>
    <w:rPr>
      <w:rFonts w:ascii="Times New Roman" w:hAnsi="Times New Roman" w:eastAsia="宋体"/>
      <w:b/>
      <w:sz w:val="28"/>
      <w:szCs w:val="32"/>
    </w:rPr>
  </w:style>
  <w:style w:type="paragraph" w:styleId="13">
    <w:name w:val="Subtitle"/>
    <w:basedOn w:val="1"/>
    <w:next w:val="1"/>
    <w:link w:val="28"/>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oc 2"/>
    <w:basedOn w:val="1"/>
    <w:next w:val="1"/>
    <w:autoRedefine/>
    <w:unhideWhenUsed/>
    <w:qFormat/>
    <w:uiPriority w:val="39"/>
    <w:pPr>
      <w:spacing w:line="360" w:lineRule="auto"/>
      <w:ind w:left="200" w:leftChars="200"/>
    </w:pPr>
    <w:rPr>
      <w:rFonts w:ascii="Times New Roman" w:hAnsi="Times New Roman" w:eastAsia="宋体"/>
      <w:b/>
      <w:sz w:val="24"/>
    </w:rPr>
  </w:style>
  <w:style w:type="paragraph" w:styleId="15">
    <w:name w:val="Title"/>
    <w:basedOn w:val="1"/>
    <w:next w:val="1"/>
    <w:link w:val="27"/>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customStyle="1" w:styleId="18">
    <w:name w:val="标题 1 字符"/>
    <w:basedOn w:val="17"/>
    <w:link w:val="2"/>
    <w:qFormat/>
    <w:uiPriority w:val="9"/>
    <w:rPr>
      <w:rFonts w:asciiTheme="majorHAnsi" w:hAnsiTheme="majorHAnsi" w:eastAsiaTheme="majorEastAsia" w:cstheme="majorBidi"/>
      <w:color w:val="104862" w:themeColor="accent1" w:themeShade="BF"/>
      <w:sz w:val="48"/>
      <w:szCs w:val="48"/>
    </w:rPr>
  </w:style>
  <w:style w:type="character" w:customStyle="1" w:styleId="19">
    <w:name w:val="标题 2 字符"/>
    <w:basedOn w:val="17"/>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0">
    <w:name w:val="标题 3 字符"/>
    <w:basedOn w:val="17"/>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1">
    <w:name w:val="标题 4 字符"/>
    <w:basedOn w:val="17"/>
    <w:link w:val="5"/>
    <w:semiHidden/>
    <w:uiPriority w:val="9"/>
    <w:rPr>
      <w:rFonts w:cstheme="majorBidi"/>
      <w:color w:val="104862" w:themeColor="accent1" w:themeShade="BF"/>
      <w:sz w:val="28"/>
      <w:szCs w:val="28"/>
    </w:rPr>
  </w:style>
  <w:style w:type="character" w:customStyle="1" w:styleId="22">
    <w:name w:val="标题 5 字符"/>
    <w:basedOn w:val="17"/>
    <w:link w:val="6"/>
    <w:semiHidden/>
    <w:qFormat/>
    <w:uiPriority w:val="9"/>
    <w:rPr>
      <w:rFonts w:cstheme="majorBidi"/>
      <w:color w:val="104862" w:themeColor="accent1" w:themeShade="BF"/>
      <w:sz w:val="24"/>
      <w:szCs w:val="24"/>
    </w:rPr>
  </w:style>
  <w:style w:type="character" w:customStyle="1" w:styleId="23">
    <w:name w:val="标题 6 字符"/>
    <w:basedOn w:val="17"/>
    <w:link w:val="7"/>
    <w:semiHidden/>
    <w:qFormat/>
    <w:uiPriority w:val="9"/>
    <w:rPr>
      <w:rFonts w:cstheme="majorBidi"/>
      <w:b/>
      <w:bCs/>
      <w:color w:val="104862" w:themeColor="accent1" w:themeShade="BF"/>
    </w:rPr>
  </w:style>
  <w:style w:type="character" w:customStyle="1" w:styleId="24">
    <w:name w:val="标题 7 字符"/>
    <w:basedOn w:val="17"/>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5">
    <w:name w:val="标题 8 字符"/>
    <w:basedOn w:val="17"/>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6">
    <w:name w:val="标题 9 字符"/>
    <w:basedOn w:val="17"/>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7">
    <w:name w:val="标题 字符"/>
    <w:basedOn w:val="17"/>
    <w:link w:val="15"/>
    <w:qFormat/>
    <w:uiPriority w:val="10"/>
    <w:rPr>
      <w:rFonts w:asciiTheme="majorHAnsi" w:hAnsiTheme="majorHAnsi" w:eastAsiaTheme="majorEastAsia" w:cstheme="majorBidi"/>
      <w:spacing w:val="-10"/>
      <w:kern w:val="28"/>
      <w:sz w:val="56"/>
      <w:szCs w:val="56"/>
    </w:rPr>
  </w:style>
  <w:style w:type="character" w:customStyle="1" w:styleId="28">
    <w:name w:val="副标题 字符"/>
    <w:basedOn w:val="17"/>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9">
    <w:name w:val="Quote"/>
    <w:basedOn w:val="1"/>
    <w:next w:val="1"/>
    <w:link w:val="30"/>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0">
    <w:name w:val="引用 字符"/>
    <w:basedOn w:val="17"/>
    <w:link w:val="29"/>
    <w:qFormat/>
    <w:uiPriority w:val="29"/>
    <w:rPr>
      <w:i/>
      <w:iCs/>
      <w:color w:val="404040" w:themeColor="text1" w:themeTint="BF"/>
      <w14:textFill>
        <w14:solidFill>
          <w14:schemeClr w14:val="tx1">
            <w14:lumMod w14:val="75000"/>
            <w14:lumOff w14:val="25000"/>
          </w14:schemeClr>
        </w14:solidFill>
      </w14:textFill>
    </w:rPr>
  </w:style>
  <w:style w:type="paragraph" w:styleId="31">
    <w:name w:val="List Paragraph"/>
    <w:basedOn w:val="1"/>
    <w:qFormat/>
    <w:uiPriority w:val="34"/>
    <w:pPr>
      <w:ind w:left="720"/>
      <w:contextualSpacing/>
    </w:pPr>
  </w:style>
  <w:style w:type="character" w:customStyle="1" w:styleId="32">
    <w:name w:val="Intense Emphasis"/>
    <w:basedOn w:val="17"/>
    <w:qFormat/>
    <w:uiPriority w:val="21"/>
    <w:rPr>
      <w:i/>
      <w:iCs/>
      <w:color w:val="104862" w:themeColor="accent1" w:themeShade="BF"/>
    </w:rPr>
  </w:style>
  <w:style w:type="paragraph" w:styleId="33">
    <w:name w:val="Intense Quote"/>
    <w:basedOn w:val="1"/>
    <w:next w:val="1"/>
    <w:link w:val="34"/>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4">
    <w:name w:val="明显引用 字符"/>
    <w:basedOn w:val="17"/>
    <w:link w:val="33"/>
    <w:uiPriority w:val="30"/>
    <w:rPr>
      <w:i/>
      <w:iCs/>
      <w:color w:val="104862" w:themeColor="accent1" w:themeShade="BF"/>
    </w:rPr>
  </w:style>
  <w:style w:type="character" w:customStyle="1" w:styleId="35">
    <w:name w:val="Intense Reference"/>
    <w:basedOn w:val="17"/>
    <w:qFormat/>
    <w:uiPriority w:val="32"/>
    <w:rPr>
      <w:b/>
      <w:bCs/>
      <w:smallCaps/>
      <w:color w:val="104862" w:themeColor="accent1" w:themeShade="BF"/>
      <w:spacing w:val="5"/>
    </w:rPr>
  </w:style>
</w:styles>
</file>

<file path=word/_rels/document.xml.rels><?xml version="1.0" encoding="UTF-8" standalone="yes"?>
<Relationships xmlns="http://schemas.openxmlformats.org/package/2006/relationships"><Relationship Id="rId9" Type="http://schemas.openxmlformats.org/officeDocument/2006/relationships/chart" Target="charts/chart6.xml"/><Relationship Id="rId8" Type="http://schemas.openxmlformats.org/officeDocument/2006/relationships/chart" Target="charts/chart5.xml"/><Relationship Id="rId7" Type="http://schemas.openxmlformats.org/officeDocument/2006/relationships/chart" Target="charts/chart4.xml"/><Relationship Id="rId6" Type="http://schemas.openxmlformats.org/officeDocument/2006/relationships/chart" Target="charts/chart3.xml"/><Relationship Id="rId5" Type="http://schemas.openxmlformats.org/officeDocument/2006/relationships/chart" Target="charts/chart2.xml"/><Relationship Id="rId4" Type="http://schemas.openxmlformats.org/officeDocument/2006/relationships/chart" Target="charts/chart1.xml"/><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C:\Users\mengx\Desktop\&#35780;&#20998;&#26631;&#20934;.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oleObject" Target="file:///C:\Users\mengx\Desktop\&#35780;&#20998;&#26631;&#20934;.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C:\Users\mengx\Desktop\&#35780;&#20998;&#26631;&#20934;.xlsx"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mengx\Desktop\&#35780;&#20998;&#26631;&#20934;.xlsx"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mengx\Desktop\&#35780;&#20998;&#26631;&#20934;.xlsx" TargetMode="External"/></Relationships>
</file>

<file path=word/charts/_rels/chart6.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mengx\Desktop\&#35780;&#20998;&#26631;&#2093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r>
              <a:rPr lang="zh-CN" altLang="en-US"/>
              <a:t>能力评分统计</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Sheet2!$B$10</c:f>
              <c:strCache>
                <c:ptCount val="1"/>
                <c:pt idx="0">
                  <c:v>学校</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Sheet2!$A$11:$A$15</c:f>
              <c:strCache>
                <c:ptCount val="5"/>
                <c:pt idx="0">
                  <c:v>数据采集</c:v>
                </c:pt>
                <c:pt idx="1">
                  <c:v>数据清洗</c:v>
                </c:pt>
                <c:pt idx="2">
                  <c:v>数据分析</c:v>
                </c:pt>
                <c:pt idx="3">
                  <c:v>结果解读</c:v>
                </c:pt>
                <c:pt idx="4">
                  <c:v>工具实操</c:v>
                </c:pt>
              </c:strCache>
            </c:strRef>
          </c:cat>
          <c:val>
            <c:numRef>
              <c:f>Sheet2!$B$11:$B$15</c:f>
              <c:numCache>
                <c:formatCode>General</c:formatCode>
                <c:ptCount val="5"/>
                <c:pt idx="0">
                  <c:v>85</c:v>
                </c:pt>
                <c:pt idx="1">
                  <c:v>83</c:v>
                </c:pt>
                <c:pt idx="2">
                  <c:v>82</c:v>
                </c:pt>
                <c:pt idx="3">
                  <c:v>78</c:v>
                </c:pt>
                <c:pt idx="4">
                  <c:v>76</c:v>
                </c:pt>
              </c:numCache>
            </c:numRef>
          </c:val>
        </c:ser>
        <c:ser>
          <c:idx val="1"/>
          <c:order val="1"/>
          <c:tx>
            <c:strRef>
              <c:f>Sheet2!$C$10</c:f>
              <c:strCache>
                <c:ptCount val="1"/>
                <c:pt idx="0">
                  <c:v>企业</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Sheet2!$A$11:$A$15</c:f>
              <c:strCache>
                <c:ptCount val="5"/>
                <c:pt idx="0">
                  <c:v>数据采集</c:v>
                </c:pt>
                <c:pt idx="1">
                  <c:v>数据清洗</c:v>
                </c:pt>
                <c:pt idx="2">
                  <c:v>数据分析</c:v>
                </c:pt>
                <c:pt idx="3">
                  <c:v>结果解读</c:v>
                </c:pt>
                <c:pt idx="4">
                  <c:v>工具实操</c:v>
                </c:pt>
              </c:strCache>
            </c:strRef>
          </c:cat>
          <c:val>
            <c:numRef>
              <c:f>Sheet2!$C$11:$C$15</c:f>
              <c:numCache>
                <c:formatCode>General</c:formatCode>
                <c:ptCount val="5"/>
                <c:pt idx="0">
                  <c:v>80</c:v>
                </c:pt>
                <c:pt idx="1">
                  <c:v>80</c:v>
                </c:pt>
                <c:pt idx="2">
                  <c:v>78</c:v>
                </c:pt>
                <c:pt idx="3">
                  <c:v>76</c:v>
                </c:pt>
                <c:pt idx="4">
                  <c:v>70</c:v>
                </c:pt>
              </c:numCache>
            </c:numRef>
          </c:val>
        </c:ser>
        <c:ser>
          <c:idx val="2"/>
          <c:order val="2"/>
          <c:tx>
            <c:strRef>
              <c:f>Sheet2!$D$10</c:f>
              <c:strCache>
                <c:ptCount val="1"/>
                <c:pt idx="0">
                  <c:v>学生自评</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Sheet2!$A$11:$A$15</c:f>
              <c:strCache>
                <c:ptCount val="5"/>
                <c:pt idx="0">
                  <c:v>数据采集</c:v>
                </c:pt>
                <c:pt idx="1">
                  <c:v>数据清洗</c:v>
                </c:pt>
                <c:pt idx="2">
                  <c:v>数据分析</c:v>
                </c:pt>
                <c:pt idx="3">
                  <c:v>结果解读</c:v>
                </c:pt>
                <c:pt idx="4">
                  <c:v>工具实操</c:v>
                </c:pt>
              </c:strCache>
            </c:strRef>
          </c:cat>
          <c:val>
            <c:numRef>
              <c:f>Sheet2!$D$11:$D$15</c:f>
              <c:numCache>
                <c:formatCode>General</c:formatCode>
                <c:ptCount val="5"/>
                <c:pt idx="3">
                  <c:v>80</c:v>
                </c:pt>
              </c:numCache>
            </c:numRef>
          </c:val>
        </c:ser>
        <c:ser>
          <c:idx val="3"/>
          <c:order val="3"/>
          <c:tx>
            <c:strRef>
              <c:f>Sheet2!$E$10</c:f>
              <c:strCache>
                <c:ptCount val="1"/>
                <c:pt idx="0">
                  <c:v>学生互评</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Sheet2!$A$11:$A$15</c:f>
              <c:strCache>
                <c:ptCount val="5"/>
                <c:pt idx="0">
                  <c:v>数据采集</c:v>
                </c:pt>
                <c:pt idx="1">
                  <c:v>数据清洗</c:v>
                </c:pt>
                <c:pt idx="2">
                  <c:v>数据分析</c:v>
                </c:pt>
                <c:pt idx="3">
                  <c:v>结果解读</c:v>
                </c:pt>
                <c:pt idx="4">
                  <c:v>工具实操</c:v>
                </c:pt>
              </c:strCache>
            </c:strRef>
          </c:cat>
          <c:val>
            <c:numRef>
              <c:f>Sheet2!$E$11:$E$15</c:f>
              <c:numCache>
                <c:formatCode>General</c:formatCode>
                <c:ptCount val="5"/>
                <c:pt idx="3">
                  <c:v>80</c:v>
                </c:pt>
              </c:numCache>
            </c:numRef>
          </c:val>
        </c:ser>
        <c:dLbls>
          <c:showLegendKey val="0"/>
          <c:showVal val="1"/>
          <c:showCatName val="0"/>
          <c:showSerName val="0"/>
          <c:showPercent val="0"/>
          <c:showBubbleSize val="0"/>
        </c:dLbls>
        <c:gapWidth val="219"/>
        <c:overlap val="-27"/>
        <c:axId val="1948008480"/>
        <c:axId val="1948009920"/>
      </c:barChart>
      <c:catAx>
        <c:axId val="1948008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948009920"/>
        <c:crosses val="autoZero"/>
        <c:auto val="1"/>
        <c:lblAlgn val="ctr"/>
        <c:lblOffset val="100"/>
        <c:noMultiLvlLbl val="0"/>
      </c:catAx>
      <c:valAx>
        <c:axId val="19480099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94800848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f78be940-a3af-4167-9454-c7c27b1acbed}"/>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barChart>
        <c:barDir val="bar"/>
        <c:grouping val="clustered"/>
        <c:varyColors val="0"/>
        <c:ser>
          <c:idx val="0"/>
          <c:order val="0"/>
          <c:tx>
            <c:strRef>
              <c:f>Sheet2!$A$11</c:f>
              <c:strCache>
                <c:ptCount val="1"/>
                <c:pt idx="0">
                  <c:v>数据采集</c:v>
                </c:pt>
              </c:strCache>
            </c:strRef>
          </c:tx>
          <c:spPr>
            <a:solidFill>
              <a:schemeClr val="accent1"/>
            </a:solidFill>
            <a:ln>
              <a:noFill/>
            </a:ln>
            <a:effectLst/>
          </c:spPr>
          <c:invertIfNegative val="0"/>
          <c:dLbls>
            <c:delete val="1"/>
          </c:dLbls>
          <c:cat>
            <c:strRef>
              <c:f>Sheet2!$B$10:$E$10</c:f>
              <c:strCache>
                <c:ptCount val="4"/>
                <c:pt idx="0">
                  <c:v>学校</c:v>
                </c:pt>
                <c:pt idx="1">
                  <c:v>企业</c:v>
                </c:pt>
                <c:pt idx="2">
                  <c:v>学生自评</c:v>
                </c:pt>
                <c:pt idx="3">
                  <c:v>学生互评</c:v>
                </c:pt>
              </c:strCache>
            </c:strRef>
          </c:cat>
          <c:val>
            <c:numRef>
              <c:f>Sheet2!$B$11:$E$11</c:f>
              <c:numCache>
                <c:formatCode>General</c:formatCode>
                <c:ptCount val="4"/>
                <c:pt idx="0">
                  <c:v>85</c:v>
                </c:pt>
                <c:pt idx="1">
                  <c:v>80</c:v>
                </c:pt>
              </c:numCache>
            </c:numRef>
          </c:val>
        </c:ser>
        <c:dLbls>
          <c:showLegendKey val="0"/>
          <c:showVal val="0"/>
          <c:showCatName val="0"/>
          <c:showSerName val="0"/>
          <c:showPercent val="0"/>
          <c:showBubbleSize val="0"/>
        </c:dLbls>
        <c:gapWidth val="182"/>
        <c:axId val="1892608768"/>
        <c:axId val="1892608288"/>
      </c:barChart>
      <c:catAx>
        <c:axId val="189260876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892608288"/>
        <c:crosses val="autoZero"/>
        <c:auto val="1"/>
        <c:lblAlgn val="ctr"/>
        <c:lblOffset val="100"/>
        <c:noMultiLvlLbl val="0"/>
      </c:catAx>
      <c:valAx>
        <c:axId val="189260828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89260876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5f2e7f45-9094-4d3f-8be0-344c7c96daa5}"/>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barChart>
        <c:barDir val="bar"/>
        <c:grouping val="clustered"/>
        <c:varyColors val="0"/>
        <c:ser>
          <c:idx val="0"/>
          <c:order val="0"/>
          <c:tx>
            <c:strRef>
              <c:f>Sheet2!$A$12</c:f>
              <c:strCache>
                <c:ptCount val="1"/>
                <c:pt idx="0">
                  <c:v>数据清洗</c:v>
                </c:pt>
              </c:strCache>
            </c:strRef>
          </c:tx>
          <c:spPr>
            <a:solidFill>
              <a:schemeClr val="accent1"/>
            </a:solidFill>
            <a:ln>
              <a:noFill/>
            </a:ln>
            <a:effectLst/>
          </c:spPr>
          <c:invertIfNegative val="0"/>
          <c:dLbls>
            <c:delete val="1"/>
          </c:dLbls>
          <c:cat>
            <c:strRef>
              <c:f>Sheet2!$B$10:$E$10</c:f>
              <c:strCache>
                <c:ptCount val="4"/>
                <c:pt idx="0">
                  <c:v>学校</c:v>
                </c:pt>
                <c:pt idx="1">
                  <c:v>企业</c:v>
                </c:pt>
                <c:pt idx="2">
                  <c:v>学生自评</c:v>
                </c:pt>
                <c:pt idx="3">
                  <c:v>学生互评</c:v>
                </c:pt>
              </c:strCache>
            </c:strRef>
          </c:cat>
          <c:val>
            <c:numRef>
              <c:f>Sheet2!$B$12:$E$12</c:f>
              <c:numCache>
                <c:formatCode>General</c:formatCode>
                <c:ptCount val="4"/>
                <c:pt idx="0">
                  <c:v>83</c:v>
                </c:pt>
                <c:pt idx="1">
                  <c:v>80</c:v>
                </c:pt>
              </c:numCache>
            </c:numRef>
          </c:val>
        </c:ser>
        <c:dLbls>
          <c:showLegendKey val="0"/>
          <c:showVal val="0"/>
          <c:showCatName val="0"/>
          <c:showSerName val="0"/>
          <c:showPercent val="0"/>
          <c:showBubbleSize val="0"/>
        </c:dLbls>
        <c:gapWidth val="182"/>
        <c:axId val="2046010080"/>
        <c:axId val="2046011520"/>
      </c:barChart>
      <c:catAx>
        <c:axId val="20460100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046011520"/>
        <c:crosses val="autoZero"/>
        <c:auto val="1"/>
        <c:lblAlgn val="ctr"/>
        <c:lblOffset val="100"/>
        <c:noMultiLvlLbl val="0"/>
      </c:catAx>
      <c:valAx>
        <c:axId val="20460115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04601008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9dab3f76-76be-40d2-908e-7e2233ebee1b}"/>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barChart>
        <c:barDir val="bar"/>
        <c:grouping val="clustered"/>
        <c:varyColors val="0"/>
        <c:ser>
          <c:idx val="0"/>
          <c:order val="0"/>
          <c:tx>
            <c:strRef>
              <c:f>Sheet2!$A$13</c:f>
              <c:strCache>
                <c:ptCount val="1"/>
                <c:pt idx="0">
                  <c:v>数据分析</c:v>
                </c:pt>
              </c:strCache>
            </c:strRef>
          </c:tx>
          <c:spPr>
            <a:solidFill>
              <a:schemeClr val="accent1"/>
            </a:solidFill>
            <a:ln>
              <a:noFill/>
            </a:ln>
            <a:effectLst/>
          </c:spPr>
          <c:invertIfNegative val="0"/>
          <c:dLbls>
            <c:delete val="1"/>
          </c:dLbls>
          <c:cat>
            <c:strRef>
              <c:f>Sheet2!$B$10:$E$10</c:f>
              <c:strCache>
                <c:ptCount val="4"/>
                <c:pt idx="0">
                  <c:v>学校</c:v>
                </c:pt>
                <c:pt idx="1">
                  <c:v>企业</c:v>
                </c:pt>
                <c:pt idx="2">
                  <c:v>学生自评</c:v>
                </c:pt>
                <c:pt idx="3">
                  <c:v>学生互评</c:v>
                </c:pt>
              </c:strCache>
            </c:strRef>
          </c:cat>
          <c:val>
            <c:numRef>
              <c:f>Sheet2!$B$13:$E$13</c:f>
              <c:numCache>
                <c:formatCode>General</c:formatCode>
                <c:ptCount val="4"/>
                <c:pt idx="0">
                  <c:v>82</c:v>
                </c:pt>
                <c:pt idx="1">
                  <c:v>78</c:v>
                </c:pt>
              </c:numCache>
            </c:numRef>
          </c:val>
        </c:ser>
        <c:dLbls>
          <c:showLegendKey val="0"/>
          <c:showVal val="0"/>
          <c:showCatName val="0"/>
          <c:showSerName val="0"/>
          <c:showPercent val="0"/>
          <c:showBubbleSize val="0"/>
        </c:dLbls>
        <c:gapWidth val="182"/>
        <c:axId val="1182936000"/>
        <c:axId val="2129419296"/>
      </c:barChart>
      <c:catAx>
        <c:axId val="11829360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129419296"/>
        <c:crosses val="autoZero"/>
        <c:auto val="1"/>
        <c:lblAlgn val="ctr"/>
        <c:lblOffset val="100"/>
        <c:noMultiLvlLbl val="0"/>
      </c:catAx>
      <c:valAx>
        <c:axId val="21294192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18293600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45b34f80-b905-4816-82e4-55cddadfcd6f}"/>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barChart>
        <c:barDir val="bar"/>
        <c:grouping val="clustered"/>
        <c:varyColors val="0"/>
        <c:ser>
          <c:idx val="0"/>
          <c:order val="0"/>
          <c:tx>
            <c:strRef>
              <c:f>Sheet2!$A$14</c:f>
              <c:strCache>
                <c:ptCount val="1"/>
                <c:pt idx="0">
                  <c:v>结果解读</c:v>
                </c:pt>
              </c:strCache>
            </c:strRef>
          </c:tx>
          <c:spPr>
            <a:solidFill>
              <a:schemeClr val="accent1"/>
            </a:solidFill>
            <a:ln>
              <a:noFill/>
            </a:ln>
            <a:effectLst/>
          </c:spPr>
          <c:invertIfNegative val="0"/>
          <c:dLbls>
            <c:delete val="1"/>
          </c:dLbls>
          <c:cat>
            <c:strRef>
              <c:f>Sheet2!$B$10:$E$10</c:f>
              <c:strCache>
                <c:ptCount val="4"/>
                <c:pt idx="0">
                  <c:v>学校</c:v>
                </c:pt>
                <c:pt idx="1">
                  <c:v>企业</c:v>
                </c:pt>
                <c:pt idx="2">
                  <c:v>学生自评</c:v>
                </c:pt>
                <c:pt idx="3">
                  <c:v>学生互评</c:v>
                </c:pt>
              </c:strCache>
            </c:strRef>
          </c:cat>
          <c:val>
            <c:numRef>
              <c:f>Sheet2!$B$14:$E$14</c:f>
              <c:numCache>
                <c:formatCode>General</c:formatCode>
                <c:ptCount val="4"/>
                <c:pt idx="0">
                  <c:v>78</c:v>
                </c:pt>
                <c:pt idx="1">
                  <c:v>76</c:v>
                </c:pt>
                <c:pt idx="2">
                  <c:v>80</c:v>
                </c:pt>
                <c:pt idx="3">
                  <c:v>80</c:v>
                </c:pt>
              </c:numCache>
            </c:numRef>
          </c:val>
        </c:ser>
        <c:dLbls>
          <c:showLegendKey val="0"/>
          <c:showVal val="0"/>
          <c:showCatName val="0"/>
          <c:showSerName val="0"/>
          <c:showPercent val="0"/>
          <c:showBubbleSize val="0"/>
        </c:dLbls>
        <c:gapWidth val="182"/>
        <c:axId val="971403008"/>
        <c:axId val="971402048"/>
      </c:barChart>
      <c:catAx>
        <c:axId val="9714030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71402048"/>
        <c:crosses val="autoZero"/>
        <c:auto val="1"/>
        <c:lblAlgn val="ctr"/>
        <c:lblOffset val="100"/>
        <c:noMultiLvlLbl val="0"/>
      </c:catAx>
      <c:valAx>
        <c:axId val="97140204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7140300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bc488d2b-0224-40e8-8735-a7bd94547e2d}"/>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barChart>
        <c:barDir val="bar"/>
        <c:grouping val="clustered"/>
        <c:varyColors val="0"/>
        <c:ser>
          <c:idx val="0"/>
          <c:order val="0"/>
          <c:tx>
            <c:strRef>
              <c:f>Sheet2!$A$15</c:f>
              <c:strCache>
                <c:ptCount val="1"/>
                <c:pt idx="0">
                  <c:v>工具实操</c:v>
                </c:pt>
              </c:strCache>
            </c:strRef>
          </c:tx>
          <c:spPr>
            <a:solidFill>
              <a:schemeClr val="accent1"/>
            </a:solidFill>
            <a:ln>
              <a:noFill/>
            </a:ln>
            <a:effectLst/>
          </c:spPr>
          <c:invertIfNegative val="0"/>
          <c:dLbls>
            <c:delete val="1"/>
          </c:dLbls>
          <c:cat>
            <c:strRef>
              <c:f>Sheet2!$B$10:$E$10</c:f>
              <c:strCache>
                <c:ptCount val="4"/>
                <c:pt idx="0">
                  <c:v>学校</c:v>
                </c:pt>
                <c:pt idx="1">
                  <c:v>企业</c:v>
                </c:pt>
                <c:pt idx="2">
                  <c:v>学生自评</c:v>
                </c:pt>
                <c:pt idx="3">
                  <c:v>学生互评</c:v>
                </c:pt>
              </c:strCache>
            </c:strRef>
          </c:cat>
          <c:val>
            <c:numRef>
              <c:f>Sheet2!$B$15:$E$15</c:f>
              <c:numCache>
                <c:formatCode>General</c:formatCode>
                <c:ptCount val="4"/>
                <c:pt idx="0">
                  <c:v>76</c:v>
                </c:pt>
                <c:pt idx="1">
                  <c:v>70</c:v>
                </c:pt>
              </c:numCache>
            </c:numRef>
          </c:val>
        </c:ser>
        <c:dLbls>
          <c:showLegendKey val="0"/>
          <c:showVal val="0"/>
          <c:showCatName val="0"/>
          <c:showSerName val="0"/>
          <c:showPercent val="0"/>
          <c:showBubbleSize val="0"/>
        </c:dLbls>
        <c:gapWidth val="182"/>
        <c:axId val="1760158432"/>
        <c:axId val="1760160352"/>
      </c:barChart>
      <c:catAx>
        <c:axId val="17601584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760160352"/>
        <c:crosses val="autoZero"/>
        <c:auto val="1"/>
        <c:lblAlgn val="ctr"/>
        <c:lblOffset val="100"/>
        <c:noMultiLvlLbl val="0"/>
      </c:catAx>
      <c:valAx>
        <c:axId val="176016035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76015843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a97da97e-46fa-4084-9533-c60e703bea4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1519</Words>
  <Characters>1595</Characters>
  <Lines>1</Lines>
  <Paragraphs>1</Paragraphs>
  <TotalTime>0</TotalTime>
  <ScaleCrop>false</ScaleCrop>
  <LinksUpToDate>false</LinksUpToDate>
  <CharactersWithSpaces>1603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2025-09-27T13:01:00Z</dcterms:created>
  <dc:creator>Fiona Liu</dc:creator>
  <cp:lastModifiedBy>玉米糊</cp:lastModifiedBy>
  <dcterms:modified xsi:type="dcterms:W3CDTF">2025-09-29T10:44:20Z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eyJoZGlkIjoiMzEwNTM5NzYwMDRjMzkwZTVkZjY2ODkwMGIxNGU0OTUiLCJ1c2VySWQiOiI0NzAzNjI1MDcifQ==</vt:lpwstr>
  </property>
  <property fmtid="{D5CDD505-2E9C-101B-9397-08002B2CF9AE}" pid="3" name="KSOProductBuildVer">
    <vt:lpwstr>2052-12.1.0.22529</vt:lpwstr>
  </property>
  <property fmtid="{D5CDD505-2E9C-101B-9397-08002B2CF9AE}" pid="4" name="ICV">
    <vt:lpwstr>183BD6B4C8F6405F98CD3B9ABB4DDF2B_12</vt:lpwstr>
  </property>
</Properties>
</file>