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873887">
      <w:pPr>
        <w:jc w:val="center"/>
        <w:rPr>
          <w:rFonts w:hint="eastAsia" w:ascii="宋体" w:hAnsi="宋体" w:eastAsia="宋体"/>
          <w:szCs w:val="21"/>
        </w:rPr>
      </w:pPr>
      <w:r>
        <w:rPr>
          <w:rFonts w:hint="eastAsia" w:ascii="宋体" w:hAnsi="宋体" w:eastAsia="宋体"/>
          <w:szCs w:val="21"/>
        </w:rPr>
        <w:t>期货模拟交易大赛实战--能力分析报告</w:t>
      </w:r>
    </w:p>
    <w:p w14:paraId="13907188">
      <w:pPr>
        <w:rPr>
          <w:rFonts w:hint="eastAsia" w:ascii="宋体" w:hAnsi="宋体" w:eastAsia="宋体"/>
          <w:szCs w:val="21"/>
          <w:lang w:eastAsia="zh-CN"/>
        </w:rPr>
      </w:pPr>
      <w:r>
        <w:rPr>
          <w:rFonts w:hint="eastAsia" w:ascii="宋体" w:hAnsi="宋体" w:eastAsia="宋体"/>
          <w:szCs w:val="21"/>
        </w:rPr>
        <w:t>学号：233061301139</w:t>
      </w:r>
    </w:p>
    <w:p w14:paraId="276023C2">
      <w:pPr>
        <w:rPr>
          <w:rFonts w:hint="eastAsia" w:ascii="宋体" w:hAnsi="宋体" w:eastAsia="宋体"/>
          <w:szCs w:val="21"/>
        </w:rPr>
      </w:pPr>
      <w:r>
        <w:rPr>
          <w:rFonts w:hint="eastAsia" w:ascii="宋体" w:hAnsi="宋体" w:eastAsia="宋体"/>
          <w:szCs w:val="21"/>
        </w:rPr>
        <w:t>姓名：赵正弘</w:t>
      </w:r>
    </w:p>
    <w:p w14:paraId="2E48898B">
      <w:pPr>
        <w:rPr>
          <w:rFonts w:hint="eastAsia" w:ascii="宋体" w:hAnsi="宋体" w:eastAsia="宋体"/>
          <w:szCs w:val="21"/>
        </w:rPr>
      </w:pPr>
      <w:r>
        <w:rPr>
          <w:rFonts w:hint="eastAsia" w:ascii="宋体" w:hAnsi="宋体" w:eastAsia="宋体"/>
          <w:szCs w:val="21"/>
        </w:rPr>
        <w:t>总分：76（详见项目评分标准）</w:t>
      </w:r>
    </w:p>
    <w:p w14:paraId="2FD15896">
      <w:pPr>
        <w:jc w:val="center"/>
        <w:rPr>
          <w:rFonts w:hint="eastAsia" w:ascii="宋体" w:hAnsi="宋体" w:eastAsia="宋体"/>
          <w:szCs w:val="21"/>
        </w:rPr>
      </w:pPr>
      <w:r>
        <w:rPr>
          <w:rFonts w:ascii="宋体" w:hAnsi="宋体" w:eastAsia="宋体"/>
          <w:szCs w:val="21"/>
        </w:rPr>
        <w:drawing>
          <wp:inline distT="0" distB="0" distL="0" distR="0">
            <wp:extent cx="4827270" cy="2746375"/>
            <wp:effectExtent l="0" t="0" r="11430" b="15875"/>
            <wp:docPr id="796659783"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0D404A16">
      <w:pPr>
        <w:rPr>
          <w:rFonts w:hint="eastAsia" w:ascii="宋体" w:hAnsi="宋体" w:eastAsia="宋体"/>
          <w:szCs w:val="21"/>
        </w:rPr>
      </w:pPr>
      <w:r>
        <w:rPr>
          <w:rFonts w:hint="eastAsia" w:ascii="宋体" w:hAnsi="宋体" w:eastAsia="宋体"/>
          <w:szCs w:val="21"/>
        </w:rPr>
        <w:t>从整体来看：</w:t>
      </w:r>
    </w:p>
    <w:p w14:paraId="7666EE6D">
      <w:pPr>
        <w:rPr>
          <w:rFonts w:hint="eastAsia" w:ascii="宋体" w:hAnsi="宋体" w:eastAsia="宋体"/>
          <w:szCs w:val="21"/>
        </w:rPr>
      </w:pPr>
      <w:r>
        <w:rPr>
          <w:rFonts w:ascii="宋体" w:hAnsi="宋体" w:eastAsia="宋体"/>
          <w:szCs w:val="21"/>
        </w:rPr>
        <w:t>优势</w:t>
      </w:r>
    </w:p>
    <w:p w14:paraId="65D5D3E4">
      <w:pPr>
        <w:ind w:firstLine="420"/>
        <w:rPr>
          <w:rFonts w:hint="eastAsia" w:ascii="宋体" w:hAnsi="宋体" w:eastAsia="宋体"/>
          <w:szCs w:val="21"/>
        </w:rPr>
      </w:pPr>
      <w:r>
        <w:rPr>
          <w:rFonts w:ascii="宋体" w:hAnsi="宋体" w:eastAsia="宋体"/>
          <w:szCs w:val="21"/>
        </w:rPr>
        <w:t>企业对学生</w:t>
      </w:r>
      <w:r>
        <w:rPr>
          <w:rFonts w:hint="eastAsia" w:ascii="宋体" w:hAnsi="宋体" w:eastAsia="宋体"/>
          <w:szCs w:val="21"/>
        </w:rPr>
        <w:t>方案定制</w:t>
      </w:r>
      <w:r>
        <w:rPr>
          <w:rFonts w:ascii="宋体" w:hAnsi="宋体" w:eastAsia="宋体"/>
          <w:szCs w:val="21"/>
        </w:rPr>
        <w:t>能力给予了较高评价，这充分彰显出该学生在</w:t>
      </w:r>
      <w:r>
        <w:rPr>
          <w:rFonts w:hint="eastAsia" w:ascii="宋体" w:hAnsi="宋体" w:eastAsia="宋体"/>
          <w:szCs w:val="21"/>
        </w:rPr>
        <w:t>制定方案</w:t>
      </w:r>
      <w:r>
        <w:rPr>
          <w:rFonts w:ascii="宋体" w:hAnsi="宋体" w:eastAsia="宋体"/>
          <w:szCs w:val="21"/>
        </w:rPr>
        <w:t>指导实际业务方面表现突出，具备为企业决策提供有效支持的能力。此外，</w:t>
      </w:r>
      <w:r>
        <w:rPr>
          <w:rFonts w:hint="eastAsia" w:ascii="宋体" w:hAnsi="宋体" w:eastAsia="宋体"/>
          <w:szCs w:val="21"/>
        </w:rPr>
        <w:t>除数据分析和方案定制外，</w:t>
      </w:r>
      <w:r>
        <w:rPr>
          <w:rFonts w:ascii="宋体" w:hAnsi="宋体" w:eastAsia="宋体"/>
          <w:szCs w:val="21"/>
        </w:rPr>
        <w:t>学生</w:t>
      </w:r>
      <w:r>
        <w:rPr>
          <w:rFonts w:hint="eastAsia" w:ascii="宋体" w:hAnsi="宋体" w:eastAsia="宋体"/>
          <w:szCs w:val="21"/>
        </w:rPr>
        <w:t>其余</w:t>
      </w:r>
      <w:r>
        <w:rPr>
          <w:rFonts w:ascii="宋体" w:hAnsi="宋体" w:eastAsia="宋体"/>
          <w:szCs w:val="21"/>
        </w:rPr>
        <w:t>各项能力评分大多在75分以上，</w:t>
      </w:r>
      <w:r>
        <w:rPr>
          <w:rFonts w:hint="eastAsia" w:ascii="宋体" w:hAnsi="宋体" w:eastAsia="宋体"/>
          <w:szCs w:val="21"/>
        </w:rPr>
        <w:t>总分成绩为76分，</w:t>
      </w:r>
      <w:r>
        <w:rPr>
          <w:rFonts w:ascii="宋体" w:hAnsi="宋体" w:eastAsia="宋体"/>
          <w:szCs w:val="21"/>
        </w:rPr>
        <w:t>这一成绩有力地证明了其在各能力板块均打下了坚实基础，对期货模拟交易大赛涵盖的各项任务有着较为深刻的理解与精准的把握。</w:t>
      </w:r>
    </w:p>
    <w:p w14:paraId="572EBB40">
      <w:pPr>
        <w:rPr>
          <w:rFonts w:hint="eastAsia" w:ascii="宋体" w:hAnsi="宋体" w:eastAsia="宋体"/>
          <w:szCs w:val="21"/>
        </w:rPr>
      </w:pPr>
      <w:r>
        <w:rPr>
          <w:rFonts w:ascii="宋体" w:hAnsi="宋体" w:eastAsia="宋体"/>
          <w:szCs w:val="21"/>
        </w:rPr>
        <w:t>短板</w:t>
      </w:r>
    </w:p>
    <w:p w14:paraId="36D275E5">
      <w:pPr>
        <w:ind w:firstLine="420"/>
        <w:rPr>
          <w:rFonts w:hint="eastAsia" w:ascii="宋体" w:hAnsi="宋体" w:eastAsia="宋体"/>
          <w:szCs w:val="21"/>
        </w:rPr>
      </w:pPr>
      <w:r>
        <w:rPr>
          <w:rFonts w:ascii="宋体" w:hAnsi="宋体" w:eastAsia="宋体"/>
          <w:szCs w:val="21"/>
        </w:rPr>
        <w:t>学生的</w:t>
      </w:r>
      <w:r>
        <w:rPr>
          <w:rFonts w:hint="eastAsia" w:ascii="宋体" w:hAnsi="宋体" w:eastAsia="宋体"/>
          <w:szCs w:val="21"/>
        </w:rPr>
        <w:t>工具实操</w:t>
      </w:r>
      <w:r>
        <w:rPr>
          <w:rFonts w:ascii="宋体" w:hAnsi="宋体" w:eastAsia="宋体"/>
          <w:szCs w:val="21"/>
        </w:rPr>
        <w:t>能力相对薄弱，在</w:t>
      </w:r>
      <w:r>
        <w:rPr>
          <w:rFonts w:hint="eastAsia" w:ascii="宋体" w:hAnsi="宋体" w:eastAsia="宋体"/>
          <w:szCs w:val="21"/>
        </w:rPr>
        <w:t>数据分析</w:t>
      </w:r>
      <w:r>
        <w:rPr>
          <w:rFonts w:ascii="宋体" w:hAnsi="宋体" w:eastAsia="宋体"/>
          <w:szCs w:val="21"/>
        </w:rPr>
        <w:t>上差强人意。要知道，在期货交易的风云变幻中，这无疑是极为关键且致命的短板。同时，在各项能力的创新性、深度和熟练度方面，学生也暴露出不同程度的欠缺。比如，</w:t>
      </w:r>
      <w:r>
        <w:rPr>
          <w:rFonts w:hint="eastAsia" w:ascii="宋体" w:hAnsi="宋体" w:eastAsia="宋体"/>
          <w:szCs w:val="21"/>
        </w:rPr>
        <w:t>调整优化</w:t>
      </w:r>
      <w:r>
        <w:rPr>
          <w:rFonts w:ascii="宋体" w:hAnsi="宋体" w:eastAsia="宋体"/>
          <w:szCs w:val="21"/>
        </w:rPr>
        <w:t>不够娴熟流畅，数据分析未能触及更深层次，方案定制缺乏新颖独特的创新思维等。</w:t>
      </w:r>
    </w:p>
    <w:p w14:paraId="43019E65">
      <w:pPr>
        <w:rPr>
          <w:rFonts w:hint="eastAsia" w:ascii="宋体" w:hAnsi="宋体" w:eastAsia="宋体"/>
          <w:szCs w:val="21"/>
        </w:rPr>
      </w:pPr>
    </w:p>
    <w:p w14:paraId="3026581E">
      <w:pPr>
        <w:rPr>
          <w:rFonts w:hint="eastAsia" w:ascii="宋体" w:hAnsi="宋体" w:eastAsia="宋体"/>
          <w:szCs w:val="21"/>
        </w:rPr>
      </w:pPr>
      <w:r>
        <w:rPr>
          <w:rFonts w:hint="eastAsia" w:ascii="宋体" w:hAnsi="宋体" w:eastAsia="宋体"/>
          <w:szCs w:val="21"/>
        </w:rPr>
        <w:t>具体来看：</w:t>
      </w:r>
    </w:p>
    <w:p w14:paraId="4A0F3F0E">
      <w:pPr>
        <w:rPr>
          <w:rFonts w:hint="eastAsia" w:ascii="宋体" w:hAnsi="宋体" w:eastAsia="宋体"/>
          <w:szCs w:val="21"/>
        </w:rPr>
      </w:pPr>
      <w:r>
        <w:rPr>
          <w:rFonts w:hint="eastAsia" w:ascii="宋体" w:hAnsi="宋体" w:eastAsia="宋体"/>
          <w:szCs w:val="21"/>
        </w:rPr>
        <w:t>系统操作能力</w:t>
      </w:r>
    </w:p>
    <w:p w14:paraId="45F2D2DA">
      <w:pPr>
        <w:ind w:firstLine="420"/>
        <w:rPr>
          <w:rFonts w:hint="eastAsia" w:ascii="宋体" w:hAnsi="宋体" w:eastAsia="宋体"/>
          <w:szCs w:val="21"/>
        </w:rPr>
      </w:pPr>
      <w:r>
        <w:rPr>
          <w:rFonts w:ascii="宋体" w:hAnsi="宋体" w:eastAsia="宋体"/>
          <w:szCs w:val="21"/>
        </w:rPr>
        <w:t>在系统操作能力上，学校给出了</w:t>
      </w:r>
      <w:r>
        <w:rPr>
          <w:rFonts w:hint="eastAsia" w:ascii="宋体" w:hAnsi="宋体" w:eastAsia="宋体"/>
          <w:szCs w:val="21"/>
        </w:rPr>
        <w:t>85</w:t>
      </w:r>
      <w:r>
        <w:rPr>
          <w:rFonts w:ascii="宋体" w:hAnsi="宋体" w:eastAsia="宋体"/>
          <w:szCs w:val="21"/>
        </w:rPr>
        <w:t>分的评价。这意味着学生</w:t>
      </w:r>
      <w:r>
        <w:rPr>
          <w:rFonts w:hint="eastAsia" w:ascii="宋体" w:hAnsi="宋体" w:eastAsia="宋体"/>
          <w:szCs w:val="21"/>
        </w:rPr>
        <w:t>能较好地完成操作任务，正确率在85%-94%之间，操作较为熟练，偶尔有小失误但不影响整体任务完成。</w:t>
      </w:r>
    </w:p>
    <w:p w14:paraId="180F26CE">
      <w:pPr>
        <w:ind w:firstLine="420"/>
        <w:rPr>
          <w:rFonts w:hint="eastAsia" w:ascii="宋体" w:hAnsi="宋体" w:eastAsia="宋体"/>
          <w:szCs w:val="21"/>
        </w:rPr>
      </w:pPr>
      <w:r>
        <w:rPr>
          <w:rFonts w:ascii="宋体" w:hAnsi="宋体" w:eastAsia="宋体"/>
          <w:szCs w:val="21"/>
        </w:rPr>
        <w:t>由此可见，学生已基本掌握期货模拟交易平台的常规操作，但在操作熟练度和系统功能运用的深度上仍有明显不足。具体表现为：在面对复杂的金融业务操作任务时，操作准确性有待提升；而在遇到突发性小问题时，其快速应对和自主解决的能力也亟待加强。</w:t>
      </w:r>
    </w:p>
    <w:p w14:paraId="522AB8EA">
      <w:pPr>
        <w:rPr>
          <w:rFonts w:hint="eastAsia" w:ascii="宋体" w:hAnsi="宋体" w:eastAsia="宋体"/>
          <w:szCs w:val="21"/>
        </w:rPr>
      </w:pPr>
      <w:r>
        <w:rPr>
          <w:rFonts w:hint="eastAsia" w:ascii="宋体" w:hAnsi="宋体" w:eastAsia="宋体"/>
          <w:szCs w:val="21"/>
        </w:rPr>
        <w:t>数据分析能力</w:t>
      </w:r>
    </w:p>
    <w:p w14:paraId="4C04D20F">
      <w:pPr>
        <w:jc w:val="center"/>
        <w:rPr>
          <w:rFonts w:hint="eastAsia" w:ascii="宋体" w:hAnsi="宋体" w:eastAsia="宋体"/>
          <w:szCs w:val="21"/>
        </w:rPr>
      </w:pPr>
      <w:r>
        <w:rPr>
          <w:rFonts w:ascii="宋体" w:hAnsi="宋体" w:eastAsia="宋体"/>
          <w:szCs w:val="21"/>
        </w:rPr>
        <w:drawing>
          <wp:inline distT="0" distB="0" distL="0" distR="0">
            <wp:extent cx="4827270" cy="2746375"/>
            <wp:effectExtent l="0" t="0" r="11430" b="15875"/>
            <wp:docPr id="2053873297"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6FFB5640">
      <w:pPr>
        <w:ind w:firstLine="420"/>
        <w:rPr>
          <w:rFonts w:hint="eastAsia" w:ascii="宋体" w:hAnsi="宋体" w:eastAsia="宋体"/>
          <w:szCs w:val="21"/>
        </w:rPr>
      </w:pPr>
      <w:r>
        <w:rPr>
          <w:rFonts w:hint="eastAsia" w:ascii="宋体" w:hAnsi="宋体" w:eastAsia="宋体"/>
          <w:szCs w:val="21"/>
        </w:rPr>
        <w:t>数据分析能力学校给出72分，企业给出55分。</w:t>
      </w:r>
      <w:r>
        <w:rPr>
          <w:rFonts w:ascii="宋体" w:hAnsi="宋体" w:eastAsia="宋体"/>
          <w:szCs w:val="21"/>
        </w:rPr>
        <w:t>学校方面认为，学生所提交的</w:t>
      </w:r>
      <w:r>
        <w:rPr>
          <w:rFonts w:hint="eastAsia" w:ascii="宋体" w:hAnsi="宋体" w:eastAsia="宋体"/>
          <w:szCs w:val="21"/>
        </w:rPr>
        <w:t>报告分析方法基本合理，对数据的分析一般，结论基本可靠，能呈现数据的基本情况。</w:t>
      </w:r>
      <w:r>
        <w:rPr>
          <w:rFonts w:ascii="宋体" w:hAnsi="宋体" w:eastAsia="宋体"/>
          <w:szCs w:val="21"/>
        </w:rPr>
        <w:t>而企业方则指出，</w:t>
      </w:r>
      <w:r>
        <w:rPr>
          <w:rFonts w:hint="eastAsia" w:ascii="宋体" w:hAnsi="宋体" w:eastAsia="宋体"/>
          <w:szCs w:val="21"/>
        </w:rPr>
        <w:t>数据分析结果对企业业务基本无指导价值，无法为企业带来实际效益</w:t>
      </w:r>
      <w:r>
        <w:rPr>
          <w:rFonts w:ascii="宋体" w:hAnsi="宋体" w:eastAsia="宋体"/>
          <w:szCs w:val="21"/>
        </w:rPr>
        <w:t>。这表明学生已具备一定的数据分析能力，</w:t>
      </w:r>
      <w:r>
        <w:rPr>
          <w:rFonts w:hint="eastAsia" w:ascii="宋体" w:hAnsi="宋体" w:eastAsia="宋体"/>
          <w:szCs w:val="21"/>
        </w:rPr>
        <w:t>但是其</w:t>
      </w:r>
      <w:r>
        <w:rPr>
          <w:rFonts w:ascii="宋体" w:hAnsi="宋体" w:eastAsia="宋体"/>
          <w:szCs w:val="21"/>
        </w:rPr>
        <w:t>实用价值</w:t>
      </w:r>
      <w:r>
        <w:rPr>
          <w:rFonts w:hint="eastAsia" w:ascii="宋体" w:hAnsi="宋体" w:eastAsia="宋体"/>
          <w:szCs w:val="21"/>
        </w:rPr>
        <w:t>较差</w:t>
      </w:r>
      <w:r>
        <w:rPr>
          <w:rFonts w:ascii="宋体" w:hAnsi="宋体" w:eastAsia="宋体"/>
          <w:szCs w:val="21"/>
        </w:rPr>
        <w:t>。</w:t>
      </w:r>
      <w:r>
        <w:rPr>
          <w:rFonts w:hint="eastAsia" w:ascii="宋体" w:hAnsi="宋体" w:eastAsia="宋体"/>
          <w:szCs w:val="21"/>
        </w:rPr>
        <w:t>因此</w:t>
      </w:r>
      <w:r>
        <w:rPr>
          <w:rFonts w:ascii="宋体" w:hAnsi="宋体" w:eastAsia="宋体"/>
          <w:szCs w:val="21"/>
        </w:rPr>
        <w:t>在分析的深度与</w:t>
      </w:r>
      <w:r>
        <w:rPr>
          <w:rFonts w:hint="eastAsia" w:ascii="宋体" w:hAnsi="宋体" w:eastAsia="宋体"/>
          <w:szCs w:val="21"/>
        </w:rPr>
        <w:t>实用性</w:t>
      </w:r>
      <w:r>
        <w:rPr>
          <w:rFonts w:ascii="宋体" w:hAnsi="宋体" w:eastAsia="宋体"/>
          <w:szCs w:val="21"/>
        </w:rPr>
        <w:t>方面仍有提升空间，未来可进一步加强探索，以更精准地满足不同对象的需求。</w:t>
      </w:r>
    </w:p>
    <w:p w14:paraId="1828B60F">
      <w:pPr>
        <w:ind w:firstLine="420"/>
        <w:rPr>
          <w:rFonts w:hint="eastAsia" w:ascii="宋体" w:hAnsi="宋体" w:eastAsia="宋体"/>
          <w:szCs w:val="21"/>
        </w:rPr>
      </w:pPr>
    </w:p>
    <w:p w14:paraId="6CDD2AFF">
      <w:pPr>
        <w:rPr>
          <w:rFonts w:hint="eastAsia" w:ascii="宋体" w:hAnsi="宋体" w:eastAsia="宋体"/>
          <w:szCs w:val="21"/>
        </w:rPr>
      </w:pPr>
      <w:r>
        <w:rPr>
          <w:rFonts w:hint="eastAsia" w:ascii="宋体" w:hAnsi="宋体" w:eastAsia="宋体"/>
          <w:szCs w:val="21"/>
        </w:rPr>
        <w:t>风险控制能力</w:t>
      </w:r>
    </w:p>
    <w:p w14:paraId="7BC778C3">
      <w:pPr>
        <w:ind w:firstLine="420"/>
        <w:rPr>
          <w:rFonts w:hint="eastAsia" w:ascii="宋体" w:hAnsi="宋体" w:eastAsia="宋体"/>
          <w:szCs w:val="21"/>
        </w:rPr>
      </w:pPr>
      <w:r>
        <w:rPr>
          <w:rFonts w:ascii="宋体" w:hAnsi="宋体" w:eastAsia="宋体"/>
          <w:szCs w:val="21"/>
        </w:rPr>
        <w:t>风险控制能力学校评分为</w:t>
      </w:r>
      <w:r>
        <w:rPr>
          <w:rFonts w:hint="eastAsia" w:ascii="宋体" w:hAnsi="宋体" w:eastAsia="宋体"/>
          <w:szCs w:val="21"/>
        </w:rPr>
        <w:t>90</w:t>
      </w:r>
      <w:r>
        <w:rPr>
          <w:rFonts w:ascii="宋体" w:hAnsi="宋体" w:eastAsia="宋体"/>
          <w:szCs w:val="21"/>
        </w:rPr>
        <w:t>分，说明学生</w:t>
      </w:r>
      <w:r>
        <w:rPr>
          <w:rFonts w:hint="eastAsia" w:ascii="宋体" w:hAnsi="宋体" w:eastAsia="宋体"/>
          <w:szCs w:val="21"/>
        </w:rPr>
        <w:t>在风险发生的第一时间迅速采取有效的控制措施，缓释及时率和准确率均达到95%及以上，能将风险损失降到最低。</w:t>
      </w:r>
      <w:r>
        <w:rPr>
          <w:rFonts w:ascii="宋体" w:hAnsi="宋体" w:eastAsia="宋体"/>
          <w:szCs w:val="21"/>
        </w:rPr>
        <w:t>这显示学生在风险意识和应对风险的能力上较为</w:t>
      </w:r>
      <w:r>
        <w:rPr>
          <w:rFonts w:hint="eastAsia" w:ascii="宋体" w:hAnsi="宋体" w:eastAsia="宋体"/>
          <w:szCs w:val="21"/>
        </w:rPr>
        <w:t>扎实</w:t>
      </w:r>
      <w:r>
        <w:rPr>
          <w:rFonts w:ascii="宋体" w:hAnsi="宋体" w:eastAsia="宋体"/>
          <w:szCs w:val="21"/>
        </w:rPr>
        <w:t>，在实际期货交易中</w:t>
      </w:r>
      <w:r>
        <w:rPr>
          <w:rFonts w:hint="eastAsia" w:ascii="宋体" w:hAnsi="宋体" w:eastAsia="宋体"/>
          <w:szCs w:val="21"/>
        </w:rPr>
        <w:t>能够</w:t>
      </w:r>
      <w:r>
        <w:rPr>
          <w:rFonts w:ascii="宋体" w:hAnsi="宋体" w:eastAsia="宋体"/>
          <w:szCs w:val="21"/>
        </w:rPr>
        <w:t>有效地控制风险，</w:t>
      </w:r>
      <w:r>
        <w:rPr>
          <w:rFonts w:hint="eastAsia" w:ascii="宋体" w:hAnsi="宋体" w:eastAsia="宋体"/>
          <w:szCs w:val="21"/>
        </w:rPr>
        <w:t>但还是</w:t>
      </w:r>
      <w:r>
        <w:rPr>
          <w:rFonts w:ascii="宋体" w:hAnsi="宋体" w:eastAsia="宋体"/>
          <w:szCs w:val="21"/>
        </w:rPr>
        <w:t>需要</w:t>
      </w:r>
      <w:r>
        <w:rPr>
          <w:rFonts w:hint="eastAsia" w:ascii="宋体" w:hAnsi="宋体" w:eastAsia="宋体"/>
          <w:szCs w:val="21"/>
        </w:rPr>
        <w:t>进一步</w:t>
      </w:r>
      <w:r>
        <w:rPr>
          <w:rFonts w:ascii="宋体" w:hAnsi="宋体" w:eastAsia="宋体"/>
          <w:szCs w:val="21"/>
        </w:rPr>
        <w:t>加强对风险控制理论和实践操作的学习，提高在风险发生时的应对速度和准确性。</w:t>
      </w:r>
    </w:p>
    <w:p w14:paraId="2E70C20F">
      <w:pPr>
        <w:rPr>
          <w:rFonts w:hint="eastAsia" w:ascii="宋体" w:hAnsi="宋体" w:eastAsia="宋体"/>
          <w:szCs w:val="21"/>
        </w:rPr>
      </w:pPr>
      <w:r>
        <w:rPr>
          <w:rFonts w:hint="eastAsia" w:ascii="宋体" w:hAnsi="宋体" w:eastAsia="宋体"/>
          <w:szCs w:val="21"/>
        </w:rPr>
        <w:t>方案定制能力</w:t>
      </w:r>
    </w:p>
    <w:p w14:paraId="36D17E9C">
      <w:pPr>
        <w:jc w:val="center"/>
        <w:rPr>
          <w:rFonts w:hint="eastAsia" w:ascii="宋体" w:hAnsi="宋体" w:eastAsia="宋体"/>
          <w:szCs w:val="21"/>
        </w:rPr>
      </w:pPr>
      <w:r>
        <w:rPr>
          <w:rFonts w:ascii="宋体" w:hAnsi="宋体" w:eastAsia="宋体"/>
          <w:szCs w:val="21"/>
        </w:rPr>
        <w:drawing>
          <wp:inline distT="0" distB="0" distL="0" distR="0">
            <wp:extent cx="4827270" cy="2746375"/>
            <wp:effectExtent l="0" t="0" r="11430" b="15875"/>
            <wp:docPr id="243166586"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1FDDB4A">
      <w:pPr>
        <w:ind w:firstLine="420"/>
        <w:rPr>
          <w:rFonts w:hint="eastAsia" w:ascii="宋体" w:hAnsi="宋体" w:eastAsia="宋体"/>
          <w:szCs w:val="21"/>
        </w:rPr>
      </w:pPr>
      <w:r>
        <w:rPr>
          <w:rFonts w:ascii="宋体" w:hAnsi="宋体" w:eastAsia="宋体"/>
          <w:szCs w:val="21"/>
        </w:rPr>
        <w:t>方案定制能力方面，学校评分为</w:t>
      </w:r>
      <w:r>
        <w:rPr>
          <w:rFonts w:hint="eastAsia" w:ascii="宋体" w:hAnsi="宋体" w:eastAsia="宋体"/>
          <w:szCs w:val="21"/>
        </w:rPr>
        <w:t>65</w:t>
      </w:r>
      <w:r>
        <w:rPr>
          <w:rFonts w:ascii="宋体" w:hAnsi="宋体" w:eastAsia="宋体"/>
          <w:szCs w:val="21"/>
        </w:rPr>
        <w:t>分，企业评分为</w:t>
      </w:r>
      <w:r>
        <w:rPr>
          <w:rFonts w:hint="eastAsia" w:ascii="宋体" w:hAnsi="宋体" w:eastAsia="宋体"/>
          <w:szCs w:val="21"/>
        </w:rPr>
        <w:t>74</w:t>
      </w:r>
      <w:r>
        <w:rPr>
          <w:rFonts w:ascii="宋体" w:hAnsi="宋体" w:eastAsia="宋体"/>
          <w:szCs w:val="21"/>
        </w:rPr>
        <w:t>分，学生互评得分为</w:t>
      </w:r>
      <w:r>
        <w:rPr>
          <w:rFonts w:hint="eastAsia" w:ascii="宋体" w:hAnsi="宋体" w:eastAsia="宋体"/>
          <w:szCs w:val="21"/>
        </w:rPr>
        <w:t>70</w:t>
      </w:r>
      <w:r>
        <w:rPr>
          <w:rFonts w:ascii="宋体" w:hAnsi="宋体" w:eastAsia="宋体"/>
          <w:szCs w:val="21"/>
        </w:rPr>
        <w:t>分。学校方面认为</w:t>
      </w:r>
      <w:r>
        <w:rPr>
          <w:rFonts w:hint="eastAsia" w:ascii="宋体" w:hAnsi="宋体" w:eastAsia="宋体"/>
          <w:szCs w:val="21"/>
        </w:rPr>
        <w:t>方案有一定缺陷，科学性和可行性不足，只能部分满足客户需求</w:t>
      </w:r>
      <w:r>
        <w:rPr>
          <w:rFonts w:ascii="宋体" w:hAnsi="宋体" w:eastAsia="宋体"/>
          <w:szCs w:val="21"/>
        </w:rPr>
        <w:t>；企业评价指出</w:t>
      </w:r>
      <w:r>
        <w:rPr>
          <w:rFonts w:hint="eastAsia" w:ascii="宋体" w:hAnsi="宋体" w:eastAsia="宋体"/>
          <w:szCs w:val="21"/>
        </w:rPr>
        <w:t>方案与客户反馈匹配度一般，能满足客户的部分需求，客户评价一般</w:t>
      </w:r>
      <w:r>
        <w:rPr>
          <w:rFonts w:ascii="宋体" w:hAnsi="宋体" w:eastAsia="宋体"/>
          <w:szCs w:val="21"/>
        </w:rPr>
        <w:t>；学生互评则反映</w:t>
      </w:r>
      <w:r>
        <w:rPr>
          <w:rFonts w:hint="eastAsia" w:ascii="宋体" w:hAnsi="宋体" w:eastAsia="宋体"/>
          <w:szCs w:val="21"/>
        </w:rPr>
        <w:t>方案创新性不足，但能基本针对客户需求，实用性一般，能提供一定的解决方案</w:t>
      </w:r>
      <w:r>
        <w:rPr>
          <w:rFonts w:ascii="宋体" w:hAnsi="宋体" w:eastAsia="宋体"/>
          <w:szCs w:val="21"/>
        </w:rPr>
        <w:t>。</w:t>
      </w:r>
    </w:p>
    <w:p w14:paraId="0C6AAA28">
      <w:pPr>
        <w:ind w:firstLine="420"/>
        <w:rPr>
          <w:rFonts w:hint="eastAsia" w:ascii="宋体" w:hAnsi="宋体" w:eastAsia="宋体"/>
          <w:szCs w:val="21"/>
        </w:rPr>
      </w:pPr>
      <w:r>
        <w:rPr>
          <w:rFonts w:ascii="宋体" w:hAnsi="宋体" w:eastAsia="宋体"/>
          <w:szCs w:val="21"/>
        </w:rPr>
        <w:t>综合来看，学生在方案定制方面已建立起必要的认知基础与实践能力，能够独立完成基本框架的搭建，并具备初步的可行性分析意识。然而，若以更高标准衡量，其在方案的系统完整性、设计方法的科学性、内容构思的创新性，以及与客户需求之间的精准匹配度等关键维度上，仍存在明显的薄弱环节与提升空间。这表明学生尚未完全实现从“掌握流程”到“产出优质方案”的能力跃迁。因此，在后续培养中，亟需引导其加强理论知识与实践场景的深度融合，并着重锤炼在复杂条件下进行差异化设计与精准响应的综合素养。</w:t>
      </w:r>
    </w:p>
    <w:p w14:paraId="730E7414">
      <w:pPr>
        <w:rPr>
          <w:rFonts w:hint="eastAsia" w:ascii="宋体" w:hAnsi="宋体" w:eastAsia="宋体"/>
          <w:szCs w:val="21"/>
        </w:rPr>
      </w:pPr>
      <w:r>
        <w:rPr>
          <w:rFonts w:hint="eastAsia" w:ascii="宋体" w:hAnsi="宋体" w:eastAsia="宋体"/>
          <w:szCs w:val="21"/>
        </w:rPr>
        <w:t>工具实操能力</w:t>
      </w:r>
    </w:p>
    <w:p w14:paraId="0C882246">
      <w:pPr>
        <w:ind w:firstLine="420"/>
        <w:jc w:val="center"/>
        <w:rPr>
          <w:rFonts w:hint="eastAsia" w:ascii="宋体" w:hAnsi="宋体" w:eastAsia="宋体"/>
          <w:szCs w:val="21"/>
        </w:rPr>
      </w:pPr>
      <w:r>
        <w:rPr>
          <w:rFonts w:ascii="宋体" w:hAnsi="宋体" w:eastAsia="宋体"/>
          <w:szCs w:val="21"/>
        </w:rPr>
        <w:drawing>
          <wp:inline distT="0" distB="0" distL="0" distR="0">
            <wp:extent cx="4826000" cy="2746375"/>
            <wp:effectExtent l="0" t="0" r="12700" b="15875"/>
            <wp:docPr id="828564183"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0FD604C">
      <w:pPr>
        <w:ind w:firstLine="420"/>
        <w:rPr>
          <w:rFonts w:hint="eastAsia" w:ascii="宋体" w:hAnsi="宋体" w:eastAsia="宋体"/>
          <w:szCs w:val="21"/>
        </w:rPr>
      </w:pPr>
      <w:r>
        <w:rPr>
          <w:rFonts w:ascii="宋体" w:hAnsi="宋体" w:eastAsia="宋体"/>
          <w:szCs w:val="21"/>
        </w:rPr>
        <w:t>在工具实操能力方面，学校评分为7</w:t>
      </w:r>
      <w:r>
        <w:rPr>
          <w:rFonts w:hint="eastAsia" w:ascii="宋体" w:hAnsi="宋体" w:eastAsia="宋体"/>
          <w:szCs w:val="21"/>
        </w:rPr>
        <w:t>8</w:t>
      </w:r>
      <w:r>
        <w:rPr>
          <w:rFonts w:ascii="宋体" w:hAnsi="宋体" w:eastAsia="宋体"/>
          <w:szCs w:val="21"/>
        </w:rPr>
        <w:t>分，学生互评则为</w:t>
      </w:r>
      <w:r>
        <w:rPr>
          <w:rFonts w:hint="eastAsia" w:ascii="宋体" w:hAnsi="宋体" w:eastAsia="宋体"/>
          <w:szCs w:val="21"/>
        </w:rPr>
        <w:t>80</w:t>
      </w:r>
      <w:r>
        <w:rPr>
          <w:rFonts w:ascii="宋体" w:hAnsi="宋体" w:eastAsia="宋体"/>
          <w:szCs w:val="21"/>
        </w:rPr>
        <w:t>分。学校评价显示，学生的无错误操作次数处于规定范围的75%–84%之间，说明整体操作已具备一定熟练度，多数学生能够在出现小失误后及时作出调整。而学生互评可能更关注在实际任务场景中运用工具解决问题的综合表现，评分略高或许源于对应变能力和协作效果的认可。总体来看，学生在工具使用的规范性和稳定性方面仍有提升空间，后续需进一步强化操作训练的精准度，逐步减少失误频次，同时加强对工具各项功能的深入理解与灵活运用能力，以提升在实际情境中的技术适应性与问题解决水平。</w:t>
      </w:r>
    </w:p>
    <w:p w14:paraId="190C3FB7">
      <w:pPr>
        <w:ind w:firstLine="420"/>
        <w:rPr>
          <w:rFonts w:hint="eastAsia" w:ascii="宋体" w:hAnsi="宋体" w:eastAsia="宋体"/>
          <w:szCs w:val="21"/>
        </w:rPr>
      </w:pPr>
      <w:r>
        <w:rPr>
          <w:rFonts w:hint="eastAsia" w:ascii="宋体" w:hAnsi="宋体" w:eastAsia="宋体"/>
          <w:szCs w:val="21"/>
        </w:rPr>
        <w:t>调整优化能力</w:t>
      </w:r>
    </w:p>
    <w:p w14:paraId="05F51398">
      <w:pPr>
        <w:jc w:val="center"/>
        <w:rPr>
          <w:rFonts w:hint="eastAsia" w:ascii="宋体" w:hAnsi="宋体" w:eastAsia="宋体"/>
          <w:szCs w:val="21"/>
        </w:rPr>
      </w:pPr>
      <w:r>
        <w:rPr>
          <w:rFonts w:ascii="宋体" w:hAnsi="宋体" w:eastAsia="宋体"/>
          <w:szCs w:val="21"/>
        </w:rPr>
        <w:drawing>
          <wp:inline distT="0" distB="0" distL="0" distR="0">
            <wp:extent cx="4826000" cy="2746375"/>
            <wp:effectExtent l="0" t="0" r="12700" b="15875"/>
            <wp:docPr id="157192485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7A7D61D">
      <w:pPr>
        <w:ind w:firstLine="420"/>
        <w:rPr>
          <w:rFonts w:hint="eastAsia" w:ascii="宋体" w:hAnsi="宋体" w:eastAsia="宋体"/>
          <w:szCs w:val="21"/>
        </w:rPr>
      </w:pPr>
      <w:r>
        <w:rPr>
          <w:rFonts w:ascii="宋体" w:hAnsi="宋体" w:eastAsia="宋体"/>
          <w:szCs w:val="21"/>
        </w:rPr>
        <w:t>调整优化能力学校评</w:t>
      </w:r>
      <w:r>
        <w:rPr>
          <w:rFonts w:hint="eastAsia" w:ascii="宋体" w:hAnsi="宋体" w:eastAsia="宋体"/>
          <w:szCs w:val="21"/>
        </w:rPr>
        <w:t>88</w:t>
      </w:r>
      <w:r>
        <w:rPr>
          <w:rFonts w:ascii="宋体" w:hAnsi="宋体" w:eastAsia="宋体"/>
          <w:szCs w:val="21"/>
        </w:rPr>
        <w:t>分、学生自评</w:t>
      </w:r>
      <w:r>
        <w:rPr>
          <w:rFonts w:hint="eastAsia" w:ascii="宋体" w:hAnsi="宋体" w:eastAsia="宋体"/>
          <w:szCs w:val="21"/>
        </w:rPr>
        <w:t>81</w:t>
      </w:r>
      <w:r>
        <w:rPr>
          <w:rFonts w:ascii="宋体" w:hAnsi="宋体" w:eastAsia="宋体"/>
          <w:szCs w:val="21"/>
        </w:rPr>
        <w:t>分、学生互评</w:t>
      </w:r>
      <w:r>
        <w:rPr>
          <w:rFonts w:hint="eastAsia" w:ascii="宋体" w:hAnsi="宋体" w:eastAsia="宋体"/>
          <w:szCs w:val="21"/>
        </w:rPr>
        <w:t>74</w:t>
      </w:r>
      <w:r>
        <w:rPr>
          <w:rFonts w:ascii="宋体" w:hAnsi="宋体" w:eastAsia="宋体"/>
          <w:szCs w:val="21"/>
        </w:rPr>
        <w:t>分。学校认为</w:t>
      </w:r>
      <w:r>
        <w:rPr>
          <w:rFonts w:hint="eastAsia" w:ascii="宋体" w:hAnsi="宋体" w:eastAsia="宋体"/>
          <w:szCs w:val="21"/>
        </w:rPr>
        <w:t>目标达成率在85%-94%之间，产品优化次数较多且有一定效果，能积极推动项目的完善</w:t>
      </w:r>
      <w:r>
        <w:rPr>
          <w:rFonts w:ascii="宋体" w:hAnsi="宋体" w:eastAsia="宋体"/>
          <w:szCs w:val="21"/>
        </w:rPr>
        <w:t>；学生自评</w:t>
      </w:r>
      <w:r>
        <w:rPr>
          <w:rFonts w:hint="eastAsia" w:ascii="宋体" w:hAnsi="宋体" w:eastAsia="宋体"/>
          <w:szCs w:val="21"/>
        </w:rPr>
        <w:t>主动性较高，能较好地参与调整优化工作，效果较好，对项目有一定帮助。</w:t>
      </w:r>
      <w:r>
        <w:rPr>
          <w:rFonts w:ascii="宋体" w:hAnsi="宋体" w:eastAsia="宋体"/>
          <w:szCs w:val="21"/>
        </w:rPr>
        <w:t>学生互评</w:t>
      </w:r>
      <w:r>
        <w:rPr>
          <w:rFonts w:hint="eastAsia" w:ascii="宋体" w:hAnsi="宋体" w:eastAsia="宋体"/>
          <w:szCs w:val="21"/>
        </w:rPr>
        <w:t>调整优化创新性不足，但方案基本合理，能对项目进行一般性的改进，大家评价尚可。</w:t>
      </w:r>
    </w:p>
    <w:p w14:paraId="726FB0BC">
      <w:pPr>
        <w:ind w:firstLine="420"/>
        <w:rPr>
          <w:rFonts w:hint="eastAsia" w:ascii="宋体" w:hAnsi="宋体" w:eastAsia="宋体"/>
          <w:szCs w:val="21"/>
        </w:rPr>
      </w:pPr>
      <w:r>
        <w:rPr>
          <w:rFonts w:ascii="宋体" w:hAnsi="宋体" w:eastAsia="宋体"/>
          <w:szCs w:val="21"/>
        </w:rPr>
        <w:t>这一多维评分结构提示，后续教学中在保持学生执行与参与积极性的同时，需加强对创新思维与系统性优化方法的引导，以提升优化行为的前瞻性与整体价值。</w:t>
      </w:r>
    </w:p>
    <w:p w14:paraId="053D93F8">
      <w:pPr>
        <w:ind w:firstLine="420"/>
        <w:rPr>
          <w:rFonts w:hint="eastAsia" w:ascii="宋体" w:hAnsi="宋体" w:eastAsia="宋体"/>
          <w:szCs w:val="21"/>
        </w:rPr>
      </w:pPr>
      <w:r>
        <w:rPr>
          <w:rFonts w:hint="eastAsia" w:ascii="宋体" w:hAnsi="宋体" w:eastAsia="宋体"/>
          <w:szCs w:val="21"/>
        </w:rPr>
        <w:t>提升建议：</w:t>
      </w:r>
    </w:p>
    <w:p w14:paraId="3E166D6D">
      <w:pPr>
        <w:ind w:firstLine="420"/>
        <w:rPr>
          <w:rFonts w:hint="eastAsia" w:ascii="宋体" w:hAnsi="宋体" w:eastAsia="宋体"/>
          <w:szCs w:val="21"/>
        </w:rPr>
      </w:pPr>
      <w:r>
        <w:rPr>
          <w:rFonts w:ascii="宋体" w:hAnsi="宋体" w:eastAsia="宋体"/>
          <w:szCs w:val="21"/>
        </w:rPr>
        <w:t>该生在期货模拟交易中展现出良好的风险控制意识和系统操作基础，但在数据分析、策略定制及工具深度运用等方面仍存在明显短板。未来提升应聚焦以下几个方向：一是系统加强数据分析与市场解读能力，需引导学生从被动接收信息转向主动挖掘数据关联，通过实战案例训练提升对宏观经济指标、行业动态与价格波动的综合研判水平，增强决策的逻辑性和前瞻性。二是深化策略定制与工具整合能力，应在掌握基本操作的基础上，重点培养学生根据不同市场情境灵活调整交易策略的能力，注重提升方案的完整性、适应性与风险收益平衡性，同时加强对高级交易工具和辅助功能的熟练运用，以提升操作精准度与响应效率。三是强化团队协作中的策略表达与优化能力，鼓励学生更多参与小组复盘和模拟账户协作，学习在集体环境中清晰阐述分析逻辑、论证优化思路，增强方案的创新性与团队认同感，从而在实践互动中提升整体交易素养</w:t>
      </w:r>
    </w:p>
    <w:p w14:paraId="6DE6E494">
      <w:pPr>
        <w:ind w:firstLine="420"/>
        <w:rPr>
          <w:rFonts w:hint="eastAsia" w:ascii="宋体" w:hAnsi="宋体" w:eastAsia="宋体"/>
          <w:szCs w:val="21"/>
        </w:rPr>
      </w:pPr>
      <w:r>
        <w:rPr>
          <w:rFonts w:ascii="宋体" w:hAnsi="宋体" w:eastAsia="宋体"/>
          <w:szCs w:val="21"/>
        </w:rPr>
        <w:t>。总体而言，该生已具备一定的交易执行基础，若能在数据分析、策略构建与团队协作三个维度实现突破，将有效推动其从操作执行向策略主导的专业能力转型。</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78D"/>
    <w:rsid w:val="00004E18"/>
    <w:rsid w:val="001826F5"/>
    <w:rsid w:val="001F6323"/>
    <w:rsid w:val="00347253"/>
    <w:rsid w:val="003861F7"/>
    <w:rsid w:val="004A24BA"/>
    <w:rsid w:val="00530CC7"/>
    <w:rsid w:val="006000F2"/>
    <w:rsid w:val="00601875"/>
    <w:rsid w:val="0064531A"/>
    <w:rsid w:val="00673DE3"/>
    <w:rsid w:val="006966EC"/>
    <w:rsid w:val="00816E86"/>
    <w:rsid w:val="008A017D"/>
    <w:rsid w:val="009574C4"/>
    <w:rsid w:val="0096146D"/>
    <w:rsid w:val="00964AF6"/>
    <w:rsid w:val="009B5953"/>
    <w:rsid w:val="00AF16F7"/>
    <w:rsid w:val="00B339DC"/>
    <w:rsid w:val="00DB078D"/>
    <w:rsid w:val="00E538E1"/>
    <w:rsid w:val="00EF3D3F"/>
    <w:rsid w:val="00F458C5"/>
    <w:rsid w:val="181879D4"/>
    <w:rsid w:val="54A264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2"/>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11">
    <w:name w:val="footer"/>
    <w:basedOn w:val="1"/>
    <w:link w:val="36"/>
    <w:unhideWhenUsed/>
    <w:uiPriority w:val="99"/>
    <w:pPr>
      <w:tabs>
        <w:tab w:val="center" w:pos="4153"/>
        <w:tab w:val="right" w:pos="8306"/>
      </w:tabs>
      <w:snapToGrid w:val="0"/>
      <w:jc w:val="left"/>
    </w:pPr>
    <w:rPr>
      <w:sz w:val="18"/>
      <w:szCs w:val="18"/>
    </w:rPr>
  </w:style>
  <w:style w:type="paragraph" w:styleId="12">
    <w:name w:val="header"/>
    <w:basedOn w:val="1"/>
    <w:link w:val="35"/>
    <w:unhideWhenUsed/>
    <w:uiPriority w:val="99"/>
    <w:pPr>
      <w:tabs>
        <w:tab w:val="center" w:pos="4153"/>
        <w:tab w:val="right" w:pos="8306"/>
      </w:tabs>
      <w:snapToGrid w:val="0"/>
      <w:jc w:val="center"/>
    </w:pPr>
    <w:rPr>
      <w:sz w:val="18"/>
      <w:szCs w:val="18"/>
    </w:rPr>
  </w:style>
  <w:style w:type="paragraph" w:styleId="13">
    <w:name w:val="Subtitle"/>
    <w:basedOn w:val="1"/>
    <w:next w:val="1"/>
    <w:link w:val="2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6"/>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6"/>
    <w:link w:val="4"/>
    <w:semiHidden/>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6"/>
    <w:link w:val="5"/>
    <w:semiHidden/>
    <w:uiPriority w:val="9"/>
    <w:rPr>
      <w:rFonts w:cstheme="majorBidi"/>
      <w:color w:val="104862" w:themeColor="accent1" w:themeShade="BF"/>
      <w:sz w:val="28"/>
      <w:szCs w:val="28"/>
    </w:rPr>
  </w:style>
  <w:style w:type="character" w:customStyle="1" w:styleId="21">
    <w:name w:val="标题 5 字符"/>
    <w:basedOn w:val="16"/>
    <w:link w:val="6"/>
    <w:semiHidden/>
    <w:uiPriority w:val="9"/>
    <w:rPr>
      <w:rFonts w:cstheme="majorBidi"/>
      <w:color w:val="104862" w:themeColor="accent1" w:themeShade="BF"/>
      <w:sz w:val="24"/>
      <w:szCs w:val="24"/>
    </w:rPr>
  </w:style>
  <w:style w:type="character" w:customStyle="1" w:styleId="22">
    <w:name w:val="标题 6 字符"/>
    <w:basedOn w:val="16"/>
    <w:link w:val="7"/>
    <w:semiHidden/>
    <w:uiPriority w:val="9"/>
    <w:rPr>
      <w:rFonts w:cstheme="majorBidi"/>
      <w:b/>
      <w:bCs/>
      <w:color w:val="104862" w:themeColor="accent1" w:themeShade="BF"/>
    </w:rPr>
  </w:style>
  <w:style w:type="character" w:customStyle="1" w:styleId="23">
    <w:name w:val="标题 7 字符"/>
    <w:basedOn w:val="16"/>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6"/>
    <w:link w:val="32"/>
    <w:uiPriority w:val="30"/>
    <w:rPr>
      <w:i/>
      <w:iCs/>
      <w:color w:val="104862" w:themeColor="accent1" w:themeShade="BF"/>
    </w:rPr>
  </w:style>
  <w:style w:type="character" w:customStyle="1" w:styleId="34">
    <w:name w:val="Intense Reference"/>
    <w:basedOn w:val="16"/>
    <w:qFormat/>
    <w:uiPriority w:val="32"/>
    <w:rPr>
      <w:b/>
      <w:bCs/>
      <w:smallCaps/>
      <w:color w:val="104862" w:themeColor="accent1" w:themeShade="BF"/>
      <w:spacing w:val="5"/>
    </w:rPr>
  </w:style>
  <w:style w:type="character" w:customStyle="1" w:styleId="35">
    <w:name w:val="页眉 字符"/>
    <w:basedOn w:val="16"/>
    <w:link w:val="12"/>
    <w:uiPriority w:val="99"/>
    <w:rPr>
      <w:sz w:val="18"/>
      <w:szCs w:val="18"/>
    </w:rPr>
  </w:style>
  <w:style w:type="character" w:customStyle="1" w:styleId="36">
    <w:name w:val="页脚 字符"/>
    <w:basedOn w:val="16"/>
    <w:link w:val="11"/>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hart" Target="charts/chart5.xml"/><Relationship Id="rId7" Type="http://schemas.openxmlformats.org/officeDocument/2006/relationships/chart" Target="charts/chart4.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能力评分统计</a:t>
            </a:r>
            <a:endParaRPr lang="zh-CN" altLang="en-US"/>
          </a:p>
        </c:rich>
      </c:tx>
      <c:layout/>
      <c:overlay val="0"/>
      <c:spPr>
        <a:noFill/>
        <a:ln>
          <a:noFill/>
        </a:ln>
        <a:effectLst/>
      </c:spPr>
    </c:title>
    <c:autoTitleDeleted val="0"/>
    <c:plotArea>
      <c:layout/>
      <c:barChart>
        <c:barDir val="col"/>
        <c:grouping val="clustered"/>
        <c:varyColors val="0"/>
        <c:ser>
          <c:idx val="0"/>
          <c:order val="0"/>
          <c:tx>
            <c:strRef>
              <c:f>[李思汉.xlsx]Sheet1!$B$2</c:f>
              <c:strCache>
                <c:ptCount val="1"/>
                <c:pt idx="0">
                  <c:v>学校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[李思汉.xlsx]Sheet1!$B$3:$B$8</c:f>
              <c:numCache>
                <c:formatCode>General</c:formatCode>
                <c:ptCount val="6"/>
                <c:pt idx="0">
                  <c:v>85</c:v>
                </c:pt>
                <c:pt idx="1">
                  <c:v>72</c:v>
                </c:pt>
                <c:pt idx="2">
                  <c:v>90</c:v>
                </c:pt>
                <c:pt idx="3">
                  <c:v>65</c:v>
                </c:pt>
                <c:pt idx="4">
                  <c:v>78</c:v>
                </c:pt>
                <c:pt idx="5">
                  <c:v>88</c:v>
                </c:pt>
              </c:numCache>
            </c:numRef>
          </c:val>
        </c:ser>
        <c:ser>
          <c:idx val="1"/>
          <c:order val="1"/>
          <c:tx>
            <c:strRef>
              <c:f>[李思汉.xlsx]Sheet1!$C$2</c:f>
              <c:strCache>
                <c:ptCount val="1"/>
                <c:pt idx="0">
                  <c:v>企业</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[李思汉.xlsx]Sheet1!$C$3:$C$8</c:f>
              <c:numCache>
                <c:formatCode>General</c:formatCode>
                <c:ptCount val="6"/>
                <c:pt idx="1">
                  <c:v>55</c:v>
                </c:pt>
                <c:pt idx="3">
                  <c:v>74</c:v>
                </c:pt>
              </c:numCache>
            </c:numRef>
          </c:val>
        </c:ser>
        <c:ser>
          <c:idx val="2"/>
          <c:order val="2"/>
          <c:tx>
            <c:strRef>
              <c:f>[李思汉.xlsx]Sheet1!$D$2</c:f>
              <c:strCache>
                <c:ptCount val="1"/>
                <c:pt idx="0">
                  <c:v>学生自评</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[李思汉.xlsx]Sheet1!$D$3:$D$8</c:f>
              <c:numCache>
                <c:formatCode>General</c:formatCode>
                <c:ptCount val="6"/>
                <c:pt idx="5">
                  <c:v>81</c:v>
                </c:pt>
              </c:numCache>
            </c:numRef>
          </c:val>
        </c:ser>
        <c:ser>
          <c:idx val="3"/>
          <c:order val="3"/>
          <c:tx>
            <c:strRef>
              <c:f>[李思汉.xlsx]Sheet1!$E$2</c:f>
              <c:strCache>
                <c:ptCount val="1"/>
                <c:pt idx="0">
                  <c:v>学生互评</c:v>
                </c:pt>
              </c:strCache>
            </c:strRef>
          </c:tx>
          <c:spPr>
            <a:solidFill>
              <a:schemeClr val="accent4"/>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[李思汉.xlsx]Sheet1!$E$3:$E$8</c:f>
              <c:numCache>
                <c:formatCode>General</c:formatCode>
                <c:ptCount val="6"/>
                <c:pt idx="3">
                  <c:v>70</c:v>
                </c:pt>
                <c:pt idx="4">
                  <c:v>80</c:v>
                </c:pt>
                <c:pt idx="5">
                  <c:v>74</c:v>
                </c:pt>
              </c:numCache>
            </c:numRef>
          </c:val>
        </c:ser>
        <c:dLbls>
          <c:showLegendKey val="0"/>
          <c:showVal val="1"/>
          <c:showCatName val="0"/>
          <c:showSerName val="0"/>
          <c:showPercent val="0"/>
          <c:showBubbleSize val="0"/>
        </c:dLbls>
        <c:gapWidth val="246"/>
        <c:overlap val="-28"/>
        <c:axId val="619809409"/>
        <c:axId val="312986146"/>
      </c:barChart>
      <c:catAx>
        <c:axId val="619809409"/>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12986146"/>
        <c:crosses val="autoZero"/>
        <c:auto val="1"/>
        <c:lblAlgn val="ctr"/>
        <c:lblOffset val="100"/>
        <c:noMultiLvlLbl val="0"/>
      </c:catAx>
      <c:valAx>
        <c:axId val="312986146"/>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19809409"/>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fb005f4-ca71-48c9-99f0-d7b5815c9cb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[李思汉.xlsx]Sheet1!$A$4</c:f>
              <c:strCache>
                <c:ptCount val="1"/>
                <c:pt idx="0">
                  <c:v>数据分析</c:v>
                </c:pt>
              </c:strCache>
            </c:strRef>
          </c:tx>
          <c:spPr>
            <a:solidFill>
              <a:schemeClr val="accent1"/>
            </a:solidFill>
            <a:ln>
              <a:noFill/>
            </a:ln>
            <a:effectLst/>
          </c:spPr>
          <c:invertIfNegative val="0"/>
          <c:dLbls>
            <c:delete val="1"/>
          </c:dLbls>
          <c:cat>
            <c:strRef>
              <c:f>[李思汉.xlsx]Sheet1!$B$2:$C$2</c:f>
              <c:strCache>
                <c:ptCount val="2"/>
                <c:pt idx="0">
                  <c:v>学校</c:v>
                </c:pt>
                <c:pt idx="1">
                  <c:v>企业</c:v>
                </c:pt>
              </c:strCache>
            </c:strRef>
          </c:cat>
          <c:val>
            <c:numRef>
              <c:f>[李思汉.xlsx]Sheet1!$B$4:$C$4</c:f>
              <c:numCache>
                <c:formatCode>General</c:formatCode>
                <c:ptCount val="2"/>
                <c:pt idx="0">
                  <c:v>72</c:v>
                </c:pt>
                <c:pt idx="1">
                  <c:v>55</c:v>
                </c:pt>
              </c:numCache>
            </c:numRef>
          </c:val>
        </c:ser>
        <c:dLbls>
          <c:showLegendKey val="0"/>
          <c:showVal val="0"/>
          <c:showCatName val="0"/>
          <c:showSerName val="0"/>
          <c:showPercent val="0"/>
          <c:showBubbleSize val="0"/>
        </c:dLbls>
        <c:gapWidth val="246"/>
        <c:overlap val="-28"/>
        <c:axId val="662246816"/>
        <c:axId val="779270057"/>
      </c:barChart>
      <c:catAx>
        <c:axId val="66224681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79270057"/>
        <c:crosses val="autoZero"/>
        <c:auto val="1"/>
        <c:lblAlgn val="ctr"/>
        <c:lblOffset val="100"/>
        <c:noMultiLvlLbl val="0"/>
      </c:catAx>
      <c:valAx>
        <c:axId val="779270057"/>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62246816"/>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8d0511a3-0bd5-464c-9ba2-4321a6b7192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[李思汉.xlsx]Sheet1!$A$6</c:f>
              <c:strCache>
                <c:ptCount val="1"/>
                <c:pt idx="0">
                  <c:v>方案定制</c:v>
                </c:pt>
              </c:strCache>
            </c:strRef>
          </c:tx>
          <c:spPr>
            <a:solidFill>
              <a:schemeClr val="accent1"/>
            </a:solidFill>
            <a:ln>
              <a:noFill/>
            </a:ln>
            <a:effectLst/>
          </c:spPr>
          <c:invertIfNegative val="0"/>
          <c:dLbls>
            <c:delete val="1"/>
          </c:dLbls>
          <c:cat>
            <c:strRef>
              <c:f>[李思汉.xlsx]Sheet1!$B$2:$E$2</c:f>
              <c:strCache>
                <c:ptCount val="3"/>
                <c:pt idx="0">
                  <c:v>学校</c:v>
                </c:pt>
                <c:pt idx="1">
                  <c:v>企业</c:v>
                </c:pt>
                <c:pt idx="2">
                  <c:v>学生互评</c:v>
                </c:pt>
              </c:strCache>
            </c:strRef>
          </c:cat>
          <c:val>
            <c:numRef>
              <c:f>Sheet1!$B$6:$E$6</c:f>
              <c:numCache>
                <c:formatCode>General</c:formatCode>
                <c:ptCount val="3"/>
                <c:pt idx="0">
                  <c:v>65</c:v>
                </c:pt>
                <c:pt idx="1">
                  <c:v>74</c:v>
                </c:pt>
                <c:pt idx="2">
                  <c:v>70</c:v>
                </c:pt>
              </c:numCache>
            </c:numRef>
          </c:val>
        </c:ser>
        <c:dLbls>
          <c:showLegendKey val="0"/>
          <c:showVal val="0"/>
          <c:showCatName val="0"/>
          <c:showSerName val="0"/>
          <c:showPercent val="0"/>
          <c:showBubbleSize val="0"/>
        </c:dLbls>
        <c:gapWidth val="246"/>
        <c:overlap val="-28"/>
        <c:axId val="179011796"/>
        <c:axId val="437999219"/>
      </c:barChart>
      <c:catAx>
        <c:axId val="17901179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37999219"/>
        <c:crosses val="autoZero"/>
        <c:auto val="1"/>
        <c:lblAlgn val="ctr"/>
        <c:lblOffset val="100"/>
        <c:noMultiLvlLbl val="0"/>
      </c:catAx>
      <c:valAx>
        <c:axId val="437999219"/>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79011796"/>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84cf741f-bd6e-442a-8f5b-7a7b32bef01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[李思汉.xlsx]Sheet1!$A$7</c:f>
              <c:strCache>
                <c:ptCount val="1"/>
                <c:pt idx="0">
                  <c:v>工具实操</c:v>
                </c:pt>
              </c:strCache>
            </c:strRef>
          </c:tx>
          <c:spPr>
            <a:solidFill>
              <a:schemeClr val="accent1"/>
            </a:solidFill>
            <a:ln>
              <a:noFill/>
            </a:ln>
            <a:effectLst/>
          </c:spPr>
          <c:invertIfNegative val="0"/>
          <c:dLbls>
            <c:delete val="1"/>
          </c:dLbls>
          <c:cat>
            <c:strRef>
              <c:f>[李思汉.xlsx]Sheet1!$B$2:$E$2</c:f>
              <c:strCache>
                <c:ptCount val="2"/>
                <c:pt idx="0">
                  <c:v>学校</c:v>
                </c:pt>
                <c:pt idx="1">
                  <c:v>学生互评</c:v>
                </c:pt>
              </c:strCache>
            </c:strRef>
          </c:cat>
          <c:val>
            <c:numRef>
              <c:f>Sheet1!$B$7:$E$7</c:f>
              <c:numCache>
                <c:formatCode>General</c:formatCode>
                <c:ptCount val="2"/>
                <c:pt idx="0">
                  <c:v>78</c:v>
                </c:pt>
                <c:pt idx="1">
                  <c:v>80</c:v>
                </c:pt>
              </c:numCache>
            </c:numRef>
          </c:val>
        </c:ser>
        <c:dLbls>
          <c:showLegendKey val="0"/>
          <c:showVal val="0"/>
          <c:showCatName val="0"/>
          <c:showSerName val="0"/>
          <c:showPercent val="0"/>
          <c:showBubbleSize val="0"/>
        </c:dLbls>
        <c:gapWidth val="246"/>
        <c:overlap val="-28"/>
        <c:axId val="21029013"/>
        <c:axId val="85403172"/>
      </c:barChart>
      <c:catAx>
        <c:axId val="21029013"/>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5403172"/>
        <c:crosses val="autoZero"/>
        <c:auto val="1"/>
        <c:lblAlgn val="ctr"/>
        <c:lblOffset val="100"/>
        <c:noMultiLvlLbl val="0"/>
      </c:catAx>
      <c:valAx>
        <c:axId val="8540317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02901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6e03968-10b9-4cd3-9c02-e8f24787e1d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[李思汉.xlsx]Sheet1!$A$8</c:f>
              <c:strCache>
                <c:ptCount val="1"/>
                <c:pt idx="0">
                  <c:v>调整优化</c:v>
                </c:pt>
              </c:strCache>
            </c:strRef>
          </c:tx>
          <c:spPr>
            <a:solidFill>
              <a:schemeClr val="accent1"/>
            </a:solidFill>
            <a:ln>
              <a:noFill/>
            </a:ln>
            <a:effectLst/>
          </c:spPr>
          <c:invertIfNegative val="0"/>
          <c:dLbls>
            <c:delete val="1"/>
          </c:dLbls>
          <c:cat>
            <c:strRef>
              <c:f>[李思汉.xlsx]Sheet1!$B$2:$E$2</c:f>
              <c:strCache>
                <c:ptCount val="3"/>
                <c:pt idx="0">
                  <c:v>学校</c:v>
                </c:pt>
                <c:pt idx="1">
                  <c:v>学生自评</c:v>
                </c:pt>
                <c:pt idx="2">
                  <c:v>学生互评</c:v>
                </c:pt>
              </c:strCache>
            </c:strRef>
          </c:cat>
          <c:val>
            <c:numRef>
              <c:f>Sheet1!$B$8:$E$8</c:f>
              <c:numCache>
                <c:formatCode>General</c:formatCode>
                <c:ptCount val="3"/>
                <c:pt idx="0">
                  <c:v>88</c:v>
                </c:pt>
                <c:pt idx="1">
                  <c:v>81</c:v>
                </c:pt>
                <c:pt idx="2">
                  <c:v>74</c:v>
                </c:pt>
              </c:numCache>
            </c:numRef>
          </c:val>
        </c:ser>
        <c:dLbls>
          <c:showLegendKey val="0"/>
          <c:showVal val="0"/>
          <c:showCatName val="0"/>
          <c:showSerName val="0"/>
          <c:showPercent val="0"/>
          <c:showBubbleSize val="0"/>
        </c:dLbls>
        <c:gapWidth val="246"/>
        <c:overlap val="-28"/>
        <c:axId val="280116183"/>
        <c:axId val="939607543"/>
      </c:barChart>
      <c:catAx>
        <c:axId val="280116183"/>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39607543"/>
        <c:crosses val="autoZero"/>
        <c:auto val="1"/>
        <c:lblAlgn val="ctr"/>
        <c:lblOffset val="100"/>
        <c:noMultiLvlLbl val="0"/>
      </c:catAx>
      <c:valAx>
        <c:axId val="939607543"/>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8011618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06a4d8c-48e3-4755-8b5f-c46f05d9282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2270</Words>
  <Characters>2328</Characters>
  <Lines>68</Lines>
  <Paragraphs>55</Paragraphs>
  <TotalTime>332</TotalTime>
  <ScaleCrop>false</ScaleCrop>
  <LinksUpToDate>false</LinksUpToDate>
  <CharactersWithSpaces>2328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2025-09-27T00:40:00Z</dcterms:created>
  <dc:creator>庆敏 侯</dc:creator>
  <cp:lastModifiedBy>Sternstunde</cp:lastModifiedBy>
  <dcterms:modified xsi:type="dcterms:W3CDTF">2025-09-29T12:31:50Z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eyJoZGlkIjoiZWQyMWE4Zjg0MmRlODNhZGU0MGE5ODQ2MWVhMzIzM2EiLCJ1c2VySWQiOiI0Mjk5MDk4NDUifQ==</vt:lpwstr>
  </property>
  <property fmtid="{D5CDD505-2E9C-101B-9397-08002B2CF9AE}" pid="3" name="KSOProductBuildVer">
    <vt:lpwstr>2052-12.1.0.23125</vt:lpwstr>
  </property>
  <property fmtid="{D5CDD505-2E9C-101B-9397-08002B2CF9AE}" pid="4" name="ICV">
    <vt:lpwstr>C5D623F781A84D1197F7CFA485C33DA2_13</vt:lpwstr>
  </property>
</Properties>
</file>