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136CB3">
      <w:pPr>
        <w:jc w:val="center"/>
        <w:rPr>
          <w:rFonts w:hint="eastAsia" w:ascii="宋体" w:hAnsi="宋体" w:eastAsia="宋体"/>
          <w:szCs w:val="21"/>
        </w:rPr>
      </w:pPr>
      <w:r>
        <w:rPr>
          <w:rFonts w:hint="eastAsia" w:ascii="宋体" w:hAnsi="宋体" w:eastAsia="宋体"/>
          <w:szCs w:val="21"/>
        </w:rPr>
        <w:t>期货模拟交易大赛实战--能力分析报告</w:t>
      </w:r>
    </w:p>
    <w:p w14:paraId="5F3DD0AA">
      <w:pPr>
        <w:rPr>
          <w:rFonts w:hint="eastAsia" w:ascii="宋体" w:hAnsi="宋体" w:eastAsia="宋体"/>
          <w:szCs w:val="21"/>
          <w:lang w:eastAsia="zh-CN"/>
        </w:rPr>
      </w:pPr>
      <w:r>
        <w:rPr>
          <w:rFonts w:hint="eastAsia" w:ascii="宋体" w:hAnsi="宋体" w:eastAsia="宋体"/>
          <w:szCs w:val="21"/>
        </w:rPr>
        <w:t>学号：233061301138</w:t>
      </w:r>
    </w:p>
    <w:p w14:paraId="617AE817">
      <w:pPr>
        <w:rPr>
          <w:rFonts w:hint="eastAsia" w:ascii="宋体" w:hAnsi="宋体" w:eastAsia="宋体"/>
          <w:szCs w:val="21"/>
        </w:rPr>
      </w:pPr>
      <w:r>
        <w:rPr>
          <w:rFonts w:hint="eastAsia" w:ascii="宋体" w:hAnsi="宋体" w:eastAsia="宋体"/>
          <w:szCs w:val="21"/>
        </w:rPr>
        <w:t>姓名：赵文哲</w:t>
      </w:r>
    </w:p>
    <w:p w14:paraId="4326AE7F">
      <w:pPr>
        <w:rPr>
          <w:rFonts w:hint="eastAsia" w:ascii="宋体" w:hAnsi="宋体" w:eastAsia="宋体"/>
          <w:szCs w:val="21"/>
        </w:rPr>
      </w:pPr>
      <w:r>
        <w:rPr>
          <w:rFonts w:hint="eastAsia" w:ascii="宋体" w:hAnsi="宋体" w:eastAsia="宋体"/>
          <w:szCs w:val="21"/>
        </w:rPr>
        <w:t>总分：75（详见项目评分标准）</w:t>
      </w:r>
    </w:p>
    <w:p w14:paraId="3E010671">
      <w:pPr>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1826509737"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486101C1">
      <w:pPr>
        <w:rPr>
          <w:rFonts w:hint="eastAsia" w:ascii="宋体" w:hAnsi="宋体" w:eastAsia="宋体"/>
          <w:szCs w:val="21"/>
        </w:rPr>
      </w:pPr>
      <w:r>
        <w:rPr>
          <w:rFonts w:hint="eastAsia" w:ascii="宋体" w:hAnsi="宋体" w:eastAsia="宋体"/>
          <w:szCs w:val="21"/>
        </w:rPr>
        <w:t>从整体来看：</w:t>
      </w:r>
    </w:p>
    <w:p w14:paraId="576036BC">
      <w:pPr>
        <w:rPr>
          <w:rFonts w:hint="eastAsia" w:ascii="宋体" w:hAnsi="宋体" w:eastAsia="宋体"/>
          <w:szCs w:val="21"/>
        </w:rPr>
      </w:pPr>
      <w:r>
        <w:rPr>
          <w:rFonts w:ascii="宋体" w:hAnsi="宋体" w:eastAsia="宋体"/>
          <w:szCs w:val="21"/>
        </w:rPr>
        <w:t>优势</w:t>
      </w:r>
      <w:r>
        <w:rPr>
          <w:rFonts w:ascii="宋体" w:hAnsi="宋体" w:eastAsia="宋体"/>
          <w:szCs w:val="21"/>
        </w:rPr>
        <w:br w:type="textWrapping"/>
      </w:r>
      <w:r>
        <w:rPr>
          <w:rFonts w:ascii="宋体" w:hAnsi="宋体" w:eastAsia="宋体"/>
          <w:szCs w:val="21"/>
        </w:rPr>
        <w:t>该生在期货交易学习中展现出优秀的风险控制意识与扎实的工具应用能力。其风险管控表现稳定可靠，体现出对市场波动具备良好的防御型思维；在工具实操方面不仅自信十足，更获得团队的高度认可，反映出出色的动手能力与协作精神。同时，该生对自身数据分析能力抱有较强信心，显示出一定的理论积累与分析热情。这些特质共同构成其应对交易实践的重要基础。</w:t>
      </w:r>
    </w:p>
    <w:p w14:paraId="21209F0B">
      <w:pPr>
        <w:rPr>
          <w:rFonts w:hint="eastAsia" w:ascii="宋体" w:hAnsi="宋体" w:eastAsia="宋体"/>
          <w:szCs w:val="21"/>
        </w:rPr>
      </w:pPr>
      <w:r>
        <w:rPr>
          <w:rFonts w:ascii="宋体" w:hAnsi="宋体" w:eastAsia="宋体"/>
          <w:szCs w:val="21"/>
        </w:rPr>
        <w:t>短板</w:t>
      </w:r>
      <w:r>
        <w:rPr>
          <w:rFonts w:ascii="宋体" w:hAnsi="宋体" w:eastAsia="宋体"/>
          <w:szCs w:val="21"/>
        </w:rPr>
        <w:br w:type="textWrapping"/>
      </w:r>
      <w:r>
        <w:rPr>
          <w:rFonts w:ascii="宋体" w:hAnsi="宋体" w:eastAsia="宋体"/>
          <w:szCs w:val="21"/>
        </w:rPr>
        <w:t>然而，该生在关键操作与实战转化方面存在显著不足。系统操作能力薄弱，成为制约交易效率的核心瓶颈；方案定制与调整优化能力明显欠缺，暴露出其在策略构建与动态应对上的短板。尤其值得注意的是，企业对其数据分析能力的评价与自我认知形成强烈反差，表明其分析方法与真实市场需求严重脱节。若不能有效弥补这些结构性缺陷，将难以实现从知识积累向实战能力的有效转化。</w:t>
      </w:r>
    </w:p>
    <w:p w14:paraId="0D199B75">
      <w:pPr>
        <w:rPr>
          <w:rFonts w:hint="eastAsia" w:ascii="宋体" w:hAnsi="宋体" w:eastAsia="宋体"/>
          <w:szCs w:val="21"/>
        </w:rPr>
      </w:pPr>
    </w:p>
    <w:p w14:paraId="2A6D9758">
      <w:pPr>
        <w:rPr>
          <w:rFonts w:hint="eastAsia" w:ascii="宋体" w:hAnsi="宋体" w:eastAsia="宋体"/>
          <w:szCs w:val="21"/>
        </w:rPr>
      </w:pPr>
      <w:r>
        <w:rPr>
          <w:rFonts w:hint="eastAsia" w:ascii="宋体" w:hAnsi="宋体" w:eastAsia="宋体"/>
          <w:szCs w:val="21"/>
        </w:rPr>
        <w:t>具体来看：</w:t>
      </w:r>
    </w:p>
    <w:p w14:paraId="4953DB84">
      <w:pPr>
        <w:rPr>
          <w:rFonts w:hint="eastAsia" w:ascii="宋体" w:hAnsi="宋体" w:eastAsia="宋体"/>
          <w:szCs w:val="21"/>
        </w:rPr>
      </w:pPr>
      <w:r>
        <w:rPr>
          <w:rFonts w:hint="eastAsia" w:ascii="宋体" w:hAnsi="宋体" w:eastAsia="宋体"/>
          <w:szCs w:val="21"/>
        </w:rPr>
        <w:t>系统操作能力</w:t>
      </w:r>
    </w:p>
    <w:p w14:paraId="31193AE9">
      <w:pPr>
        <w:ind w:firstLine="420"/>
        <w:rPr>
          <w:rFonts w:hint="eastAsia" w:ascii="宋体" w:hAnsi="宋体" w:eastAsia="宋体"/>
          <w:szCs w:val="21"/>
        </w:rPr>
      </w:pPr>
      <w:r>
        <w:rPr>
          <w:rFonts w:ascii="宋体" w:hAnsi="宋体" w:eastAsia="宋体"/>
          <w:szCs w:val="21"/>
        </w:rPr>
        <w:t>在系统操作能力上，学校给出了</w:t>
      </w:r>
      <w:r>
        <w:rPr>
          <w:rFonts w:hint="eastAsia" w:ascii="宋体" w:hAnsi="宋体" w:eastAsia="宋体"/>
          <w:szCs w:val="21"/>
        </w:rPr>
        <w:t>62</w:t>
      </w:r>
      <w:r>
        <w:rPr>
          <w:rFonts w:ascii="宋体" w:hAnsi="宋体" w:eastAsia="宋体"/>
          <w:szCs w:val="21"/>
        </w:rPr>
        <w:t>分的评价。这意味着</w:t>
      </w:r>
      <w:r>
        <w:rPr>
          <w:rFonts w:hint="eastAsia" w:ascii="宋体" w:hAnsi="宋体" w:eastAsia="宋体"/>
          <w:szCs w:val="21"/>
        </w:rPr>
        <w:t>勉强完成操作任务，正确率在65%-74%之间，操作不太熟练，出现较多小失误，需要多次尝试才能完成部分操作。</w:t>
      </w:r>
    </w:p>
    <w:p w14:paraId="1424A6A1">
      <w:pPr>
        <w:ind w:firstLine="420"/>
        <w:rPr>
          <w:rFonts w:hint="eastAsia" w:ascii="宋体" w:hAnsi="宋体" w:eastAsia="宋体"/>
          <w:szCs w:val="21"/>
        </w:rPr>
      </w:pPr>
      <w:r>
        <w:rPr>
          <w:rFonts w:ascii="宋体" w:hAnsi="宋体" w:eastAsia="宋体"/>
          <w:szCs w:val="21"/>
        </w:rPr>
        <w:t>该生目前对交易平台的应用尚处于功能熟悉阶段，未能实现操作技能的系统性整合。具体表现为执行复合型指令时效率与精度显著衰减，且在遭遇操作中断或系统异常时，应变能力明显不足。建议通过高仿真环境下的压力情景模拟与故障恢复训练，重点提升其对复杂交易场景的适应能力和技术异常的抗干扰水平，逐步培养其形成稳定、可靠且具备弹性的操作能力体系。</w:t>
      </w:r>
    </w:p>
    <w:p w14:paraId="01389281">
      <w:pPr>
        <w:ind w:firstLine="420"/>
        <w:rPr>
          <w:rFonts w:hint="eastAsia" w:ascii="宋体" w:hAnsi="宋体" w:eastAsia="宋体"/>
          <w:szCs w:val="21"/>
        </w:rPr>
      </w:pPr>
      <w:r>
        <w:rPr>
          <w:rFonts w:hint="eastAsia" w:ascii="宋体" w:hAnsi="宋体" w:eastAsia="宋体"/>
          <w:szCs w:val="21"/>
        </w:rPr>
        <w:t>数据分析能力</w:t>
      </w:r>
    </w:p>
    <w:p w14:paraId="725912F0">
      <w:pPr>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474417969"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46A88D9">
      <w:pPr>
        <w:ind w:firstLine="420"/>
        <w:rPr>
          <w:rFonts w:hint="eastAsia" w:ascii="宋体" w:hAnsi="宋体" w:eastAsia="宋体"/>
          <w:szCs w:val="21"/>
        </w:rPr>
      </w:pPr>
      <w:r>
        <w:rPr>
          <w:rFonts w:hint="eastAsia" w:ascii="宋体" w:hAnsi="宋体" w:eastAsia="宋体"/>
          <w:szCs w:val="21"/>
        </w:rPr>
        <w:t>数据分析能力学校给出88分，企业给出48分。</w:t>
      </w:r>
      <w:r>
        <w:rPr>
          <w:rFonts w:ascii="宋体" w:hAnsi="宋体" w:eastAsia="宋体"/>
          <w:szCs w:val="21"/>
        </w:rPr>
        <w:t>学校方面认为，</w:t>
      </w:r>
      <w:r>
        <w:rPr>
          <w:rFonts w:hint="eastAsia" w:ascii="宋体" w:hAnsi="宋体" w:eastAsia="宋体"/>
          <w:szCs w:val="21"/>
        </w:rPr>
        <w:t>报告分析方法较合理，对数据的分析较深入，结论较可靠，能为决策提供一定参考</w:t>
      </w:r>
      <w:r>
        <w:rPr>
          <w:rFonts w:ascii="宋体" w:hAnsi="宋体" w:eastAsia="宋体"/>
          <w:szCs w:val="21"/>
        </w:rPr>
        <w:t>；而企业方则指出，该</w:t>
      </w:r>
      <w:r>
        <w:rPr>
          <w:rFonts w:hint="eastAsia" w:ascii="宋体" w:hAnsi="宋体" w:eastAsia="宋体"/>
          <w:szCs w:val="21"/>
        </w:rPr>
        <w:t>数据分析结果对企业业务基本无指导价值，无法为企业带来实际效益</w:t>
      </w:r>
      <w:r>
        <w:rPr>
          <w:rFonts w:ascii="宋体" w:hAnsi="宋体" w:eastAsia="宋体"/>
          <w:szCs w:val="21"/>
        </w:rPr>
        <w:t>。</w:t>
      </w:r>
      <w:r>
        <w:rPr>
          <w:rFonts w:hint="eastAsia" w:ascii="宋体" w:hAnsi="宋体" w:eastAsia="宋体"/>
          <w:szCs w:val="21"/>
        </w:rPr>
        <w:t>综上，</w:t>
      </w:r>
      <w:r>
        <w:rPr>
          <w:rFonts w:ascii="宋体" w:hAnsi="宋体" w:eastAsia="宋体"/>
          <w:szCs w:val="21"/>
        </w:rPr>
        <w:t>当前分析工作尚未能充分满足客户群体日趋多元化的价值期待，主要体现在研究深度不足与创新视角的局限。为有效突破这一发展瓶颈，需要着力构建基于真实业务场景的深度洞察机制，通过精准把握不同用户群体的核心诉求与潜在需求，将创新活动聚焦于高价值环节。在此基础上，应积极推进分析成果向业务实践的转化落地，确保解决方案既具有理论前瞻性，又能有效应对实际业务挑战，从而全面提升客户的价值体验与满意度水平。</w:t>
      </w:r>
    </w:p>
    <w:p w14:paraId="7610BD01">
      <w:pPr>
        <w:rPr>
          <w:rFonts w:hint="eastAsia" w:ascii="宋体" w:hAnsi="宋体" w:eastAsia="宋体"/>
          <w:szCs w:val="21"/>
        </w:rPr>
      </w:pPr>
      <w:r>
        <w:rPr>
          <w:rFonts w:hint="eastAsia" w:ascii="宋体" w:hAnsi="宋体" w:eastAsia="宋体"/>
          <w:szCs w:val="21"/>
        </w:rPr>
        <w:t>风险控制能力</w:t>
      </w:r>
    </w:p>
    <w:p w14:paraId="122EAEDF">
      <w:pPr>
        <w:ind w:firstLine="420"/>
        <w:rPr>
          <w:rFonts w:hint="eastAsia" w:ascii="宋体" w:hAnsi="宋体" w:eastAsia="宋体"/>
          <w:szCs w:val="21"/>
        </w:rPr>
      </w:pPr>
      <w:r>
        <w:rPr>
          <w:rFonts w:ascii="宋体" w:hAnsi="宋体" w:eastAsia="宋体"/>
          <w:szCs w:val="21"/>
        </w:rPr>
        <w:t>风险控制能力学校评分为</w:t>
      </w:r>
      <w:r>
        <w:rPr>
          <w:rFonts w:hint="eastAsia" w:ascii="宋体" w:hAnsi="宋体" w:eastAsia="宋体"/>
          <w:szCs w:val="21"/>
        </w:rPr>
        <w:t>89</w:t>
      </w:r>
      <w:r>
        <w:rPr>
          <w:rFonts w:ascii="宋体" w:hAnsi="宋体" w:eastAsia="宋体"/>
          <w:szCs w:val="21"/>
        </w:rPr>
        <w:t>分，说明学生在风险发生时</w:t>
      </w:r>
      <w:r>
        <w:rPr>
          <w:rFonts w:hint="eastAsia" w:ascii="宋体" w:hAnsi="宋体" w:eastAsia="宋体"/>
          <w:szCs w:val="21"/>
        </w:rPr>
        <w:t>能较快采取控制措施，及时率和准确率均在85%-94%之间，能有效控制风险。</w:t>
      </w:r>
      <w:r>
        <w:rPr>
          <w:rFonts w:ascii="宋体" w:hAnsi="宋体" w:eastAsia="宋体"/>
          <w:szCs w:val="21"/>
        </w:rPr>
        <w:t>该生已掌握风险管理的基础规范，能够在常规市场环境下按流程执行有效的风险控制。然而，当面临剧烈行情波动或结构性风险事件时，</w:t>
      </w:r>
      <w:r>
        <w:rPr>
          <w:rFonts w:hint="eastAsia" w:ascii="宋体" w:hAnsi="宋体" w:eastAsia="宋体"/>
          <w:szCs w:val="21"/>
        </w:rPr>
        <w:t>还需注意</w:t>
      </w:r>
      <w:r>
        <w:rPr>
          <w:rFonts w:ascii="宋体" w:hAnsi="宋体" w:eastAsia="宋体"/>
          <w:szCs w:val="21"/>
        </w:rPr>
        <w:t>决策的及时性与准确性。后续需通过有针对性的极端市场情景模拟和压力训练，增强对复杂风险信号的敏锐觉察与快速处置能力，推动风控策略由被动响应向主动预判与过程干预转变，逐步建立起更加灵活、前瞻的风险管理体系。</w:t>
      </w:r>
    </w:p>
    <w:p w14:paraId="70862A19">
      <w:pPr>
        <w:ind w:firstLine="420"/>
        <w:rPr>
          <w:rFonts w:hint="eastAsia" w:ascii="宋体" w:hAnsi="宋体" w:eastAsia="宋体"/>
          <w:szCs w:val="21"/>
        </w:rPr>
      </w:pPr>
      <w:r>
        <w:rPr>
          <w:rFonts w:hint="eastAsia" w:ascii="宋体" w:hAnsi="宋体" w:eastAsia="宋体"/>
          <w:szCs w:val="21"/>
        </w:rPr>
        <w:t>方案定制能力</w:t>
      </w:r>
    </w:p>
    <w:p w14:paraId="6609F2BF">
      <w:pPr>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165861724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51DC1F9">
      <w:pPr>
        <w:ind w:firstLine="420"/>
        <w:rPr>
          <w:rFonts w:hint="eastAsia" w:ascii="宋体" w:hAnsi="宋体" w:eastAsia="宋体"/>
          <w:szCs w:val="21"/>
        </w:rPr>
      </w:pPr>
      <w:r>
        <w:rPr>
          <w:rFonts w:ascii="宋体" w:hAnsi="宋体" w:eastAsia="宋体"/>
          <w:szCs w:val="21"/>
        </w:rPr>
        <w:t>方案定制能力方面，学校评分为</w:t>
      </w:r>
      <w:r>
        <w:rPr>
          <w:rFonts w:hint="eastAsia" w:ascii="宋体" w:hAnsi="宋体" w:eastAsia="宋体"/>
          <w:szCs w:val="21"/>
        </w:rPr>
        <w:t>59</w:t>
      </w:r>
      <w:r>
        <w:rPr>
          <w:rFonts w:ascii="宋体" w:hAnsi="宋体" w:eastAsia="宋体"/>
          <w:szCs w:val="21"/>
        </w:rPr>
        <w:t>分，企业评分为</w:t>
      </w:r>
      <w:r>
        <w:rPr>
          <w:rFonts w:hint="eastAsia" w:ascii="宋体" w:hAnsi="宋体" w:eastAsia="宋体"/>
          <w:szCs w:val="21"/>
        </w:rPr>
        <w:t>85</w:t>
      </w:r>
      <w:r>
        <w:rPr>
          <w:rFonts w:ascii="宋体" w:hAnsi="宋体" w:eastAsia="宋体"/>
          <w:szCs w:val="21"/>
        </w:rPr>
        <w:t>分，学生互评得分为</w:t>
      </w:r>
      <w:r>
        <w:rPr>
          <w:rFonts w:hint="eastAsia" w:ascii="宋体" w:hAnsi="宋体" w:eastAsia="宋体"/>
          <w:szCs w:val="21"/>
        </w:rPr>
        <w:t>71</w:t>
      </w:r>
      <w:r>
        <w:rPr>
          <w:rFonts w:ascii="宋体" w:hAnsi="宋体" w:eastAsia="宋体"/>
          <w:szCs w:val="21"/>
        </w:rPr>
        <w:t>分。学校方面认为</w:t>
      </w:r>
      <w:r>
        <w:rPr>
          <w:rFonts w:hint="eastAsia" w:ascii="宋体" w:hAnsi="宋体" w:eastAsia="宋体"/>
          <w:szCs w:val="21"/>
        </w:rPr>
        <w:t>方案缺乏创新性、针对性和实用性，几乎无法解决客户问题</w:t>
      </w:r>
      <w:r>
        <w:rPr>
          <w:rFonts w:ascii="宋体" w:hAnsi="宋体" w:eastAsia="宋体"/>
          <w:szCs w:val="21"/>
        </w:rPr>
        <w:t>；企业评价指出</w:t>
      </w:r>
      <w:r>
        <w:rPr>
          <w:rFonts w:hint="eastAsia" w:ascii="宋体" w:hAnsi="宋体" w:eastAsia="宋体"/>
          <w:szCs w:val="21"/>
        </w:rPr>
        <w:t>方案与客户反馈匹配度较高，能较好地满足客户需求，客户评价较好</w:t>
      </w:r>
      <w:r>
        <w:rPr>
          <w:rFonts w:ascii="宋体" w:hAnsi="宋体" w:eastAsia="宋体"/>
          <w:szCs w:val="21"/>
        </w:rPr>
        <w:t>；学生互评则反映</w:t>
      </w:r>
      <w:r>
        <w:rPr>
          <w:rFonts w:hint="eastAsia" w:ascii="宋体" w:hAnsi="宋体" w:eastAsia="宋体"/>
          <w:szCs w:val="21"/>
        </w:rPr>
        <w:t>方案创新性不足，但能基本针对客户需求，实用性一般，能提供一定的解决方案</w:t>
      </w:r>
      <w:r>
        <w:rPr>
          <w:rFonts w:ascii="宋体" w:hAnsi="宋体" w:eastAsia="宋体"/>
          <w:szCs w:val="21"/>
        </w:rPr>
        <w:t>。该生已具备扎实的方案构建能力，能够独立设计逻辑清晰、具备可操作性的基础框架，显示出较强的系统性思维。然而，现有方案在创新性和针对性方面存在不足，呈现出一定的程式化特征，尤其在战略前瞻性、结构严谨度以及与客户实际需求的契合度上仍有提升空间。具体表现为方案设计多遵循传统模式，未能深入挖掘客户个性化需求；对潜在风险的预判和应对措施设计不够周全；理论知识与企业实践的结合尚欠紧密。建议后续着重培养其市场洞察与价值创造能力：通过加强实战案例分析和竞品研究，提升对客户隐性需求的捕捉能力；同时促进多学科知识整合，运用数据分析及用户行为研究等现代方法，推动方案设计从基础功能实现向核心价值创造的升级，最终形成独具特色的差异化设计能力。</w:t>
      </w:r>
    </w:p>
    <w:p w14:paraId="27C01546">
      <w:pPr>
        <w:ind w:firstLine="420"/>
        <w:rPr>
          <w:rFonts w:hint="eastAsia" w:ascii="宋体" w:hAnsi="宋体" w:eastAsia="宋体"/>
          <w:szCs w:val="21"/>
        </w:rPr>
      </w:pPr>
      <w:r>
        <w:rPr>
          <w:rFonts w:hint="eastAsia" w:ascii="宋体" w:hAnsi="宋体" w:eastAsia="宋体"/>
          <w:szCs w:val="21"/>
        </w:rPr>
        <w:t>工具实操能力</w:t>
      </w:r>
    </w:p>
    <w:p w14:paraId="0EFCEC95">
      <w:pPr>
        <w:ind w:firstLine="420"/>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70494110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80CD4EA">
      <w:pPr>
        <w:ind w:firstLine="420"/>
        <w:rPr>
          <w:rFonts w:hint="eastAsia" w:ascii="宋体" w:hAnsi="宋体" w:eastAsia="宋体"/>
          <w:szCs w:val="21"/>
        </w:rPr>
      </w:pPr>
      <w:r>
        <w:rPr>
          <w:rFonts w:ascii="宋体" w:hAnsi="宋体" w:eastAsia="宋体"/>
          <w:szCs w:val="21"/>
        </w:rPr>
        <w:t>在工具实操能力方面，学校评分为</w:t>
      </w:r>
      <w:r>
        <w:rPr>
          <w:rFonts w:hint="eastAsia" w:ascii="宋体" w:hAnsi="宋体" w:eastAsia="宋体"/>
          <w:szCs w:val="21"/>
        </w:rPr>
        <w:t>86</w:t>
      </w:r>
      <w:r>
        <w:rPr>
          <w:rFonts w:ascii="宋体" w:hAnsi="宋体" w:eastAsia="宋体"/>
          <w:szCs w:val="21"/>
        </w:rPr>
        <w:t>分，学生互评则为</w:t>
      </w:r>
      <w:r>
        <w:rPr>
          <w:rFonts w:hint="eastAsia" w:ascii="宋体" w:hAnsi="宋体" w:eastAsia="宋体"/>
          <w:szCs w:val="21"/>
        </w:rPr>
        <w:t>92</w:t>
      </w:r>
      <w:r>
        <w:rPr>
          <w:rFonts w:ascii="宋体" w:hAnsi="宋体" w:eastAsia="宋体"/>
          <w:szCs w:val="21"/>
        </w:rPr>
        <w:t>分。学校评价显示，学生的</w:t>
      </w:r>
      <w:r>
        <w:rPr>
          <w:rFonts w:hint="eastAsia" w:ascii="宋体" w:hAnsi="宋体" w:eastAsia="宋体"/>
          <w:szCs w:val="21"/>
        </w:rPr>
        <w:t>无错误操作次数达到规定次数的85%-94%之间，操作较熟练，偶有小失误但不影响整体效果。</w:t>
      </w:r>
      <w:r>
        <w:rPr>
          <w:rFonts w:ascii="宋体" w:hAnsi="宋体" w:eastAsia="宋体"/>
          <w:szCs w:val="21"/>
        </w:rPr>
        <w:t>在学生互评环节中，工具实操能力获得较高分数，这一结果具有多重积极意义。它直观反映了团队成员对该生专业技术能力的充分肯定，说明其在模拟交易场景中能够熟练运用各类分析工具和交易系统，操作规范性和执行效率得到了同伴们的普遍认可。更重要的是，高分互评折射出团队协作的良好状态——当每个成员都能胜任自己的工具操作任务时，团队决策和执行过程就能实现无缝衔接，这种技术层面的默契为团队高效协作奠定了坚实基础。</w:t>
      </w:r>
    </w:p>
    <w:p w14:paraId="3F50E51B">
      <w:pPr>
        <w:ind w:firstLine="420"/>
        <w:rPr>
          <w:rFonts w:hint="eastAsia" w:ascii="宋体" w:hAnsi="宋体" w:eastAsia="宋体"/>
          <w:szCs w:val="21"/>
        </w:rPr>
      </w:pPr>
      <w:r>
        <w:rPr>
          <w:rFonts w:hint="eastAsia" w:ascii="宋体" w:hAnsi="宋体" w:eastAsia="宋体"/>
          <w:szCs w:val="21"/>
        </w:rPr>
        <w:t>调整优化能力</w:t>
      </w:r>
    </w:p>
    <w:p w14:paraId="1D721D52">
      <w:pPr>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174452958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E9CF99B">
      <w:pPr>
        <w:ind w:firstLine="420"/>
        <w:rPr>
          <w:rFonts w:hint="eastAsia" w:ascii="宋体" w:hAnsi="宋体" w:eastAsia="宋体"/>
          <w:szCs w:val="21"/>
        </w:rPr>
      </w:pPr>
      <w:r>
        <w:rPr>
          <w:rFonts w:ascii="宋体" w:hAnsi="宋体" w:eastAsia="宋体"/>
          <w:szCs w:val="21"/>
        </w:rPr>
        <w:t>调整优化能力学校评</w:t>
      </w:r>
      <w:r>
        <w:rPr>
          <w:rFonts w:hint="eastAsia" w:ascii="宋体" w:hAnsi="宋体" w:eastAsia="宋体"/>
          <w:szCs w:val="21"/>
        </w:rPr>
        <w:t>56</w:t>
      </w:r>
      <w:r>
        <w:rPr>
          <w:rFonts w:ascii="宋体" w:hAnsi="宋体" w:eastAsia="宋体"/>
          <w:szCs w:val="21"/>
        </w:rPr>
        <w:t>分、学生自评</w:t>
      </w:r>
      <w:r>
        <w:rPr>
          <w:rFonts w:hint="eastAsia" w:ascii="宋体" w:hAnsi="宋体" w:eastAsia="宋体"/>
          <w:szCs w:val="21"/>
        </w:rPr>
        <w:t>79</w:t>
      </w:r>
      <w:r>
        <w:rPr>
          <w:rFonts w:ascii="宋体" w:hAnsi="宋体" w:eastAsia="宋体"/>
          <w:szCs w:val="21"/>
        </w:rPr>
        <w:t>分、学生互评</w:t>
      </w:r>
      <w:r>
        <w:rPr>
          <w:rFonts w:hint="eastAsia" w:ascii="宋体" w:hAnsi="宋体" w:eastAsia="宋体"/>
          <w:szCs w:val="21"/>
        </w:rPr>
        <w:t>79</w:t>
      </w:r>
      <w:r>
        <w:rPr>
          <w:rFonts w:ascii="宋体" w:hAnsi="宋体" w:eastAsia="宋体"/>
          <w:szCs w:val="21"/>
        </w:rPr>
        <w:t>分。学校认为</w:t>
      </w:r>
      <w:r>
        <w:rPr>
          <w:rFonts w:hint="eastAsia" w:ascii="宋体" w:hAnsi="宋体" w:eastAsia="宋体"/>
          <w:szCs w:val="21"/>
        </w:rPr>
        <w:t>目标达成率低于65%，产品优化次数很少，对项目几乎无改进作用。</w:t>
      </w:r>
      <w:r>
        <w:rPr>
          <w:rFonts w:ascii="宋体" w:hAnsi="宋体" w:eastAsia="宋体"/>
          <w:szCs w:val="21"/>
        </w:rPr>
        <w:t>学生自评</w:t>
      </w:r>
      <w:r>
        <w:rPr>
          <w:rFonts w:hint="eastAsia" w:ascii="宋体" w:hAnsi="宋体" w:eastAsia="宋体"/>
          <w:szCs w:val="21"/>
        </w:rPr>
        <w:t>主动性一般，能完成基本的调整优化任务，效果一般，对项目的推动作用有限；</w:t>
      </w:r>
      <w:r>
        <w:rPr>
          <w:rFonts w:ascii="宋体" w:hAnsi="宋体" w:eastAsia="宋体"/>
          <w:szCs w:val="21"/>
        </w:rPr>
        <w:t>学生互评觉得</w:t>
      </w:r>
      <w:r>
        <w:rPr>
          <w:rFonts w:hint="eastAsia" w:ascii="宋体" w:hAnsi="宋体" w:eastAsia="宋体"/>
          <w:szCs w:val="21"/>
        </w:rPr>
        <w:t>调整优化创新性不足，但方案基本合理，能对项目进行一般性的改进，大家评价尚可。</w:t>
      </w:r>
      <w:r>
        <w:rPr>
          <w:rFonts w:ascii="宋体" w:hAnsi="宋体" w:eastAsia="宋体"/>
          <w:szCs w:val="21"/>
        </w:rPr>
        <w:t>该生在调整优化领域展现出卓越的综合素养，其能力结构呈现出鲜明的层次性：在执行层面，他能够高效落实优化方案，确保每个改进环节扎实落地；在创新维度，他善于突破常规思维框架，经常提出具有前瞻性的独特见解，所设计的差异化解决方案往往能直击问题核心，显著提升项目的质量水平和实施效果。这种基础能力与创新思维的有效结合，使其优化工作既具有可靠性又充满活力。</w:t>
      </w:r>
    </w:p>
    <w:p w14:paraId="2975B37B">
      <w:pPr>
        <w:ind w:firstLine="420"/>
        <w:rPr>
          <w:rFonts w:hint="eastAsia" w:ascii="宋体" w:hAnsi="宋体" w:eastAsia="宋体"/>
          <w:szCs w:val="21"/>
        </w:rPr>
      </w:pPr>
      <w:r>
        <w:rPr>
          <w:rFonts w:hint="eastAsia" w:ascii="宋体" w:hAnsi="宋体" w:eastAsia="宋体"/>
          <w:szCs w:val="21"/>
        </w:rPr>
        <w:t>提升建议：</w:t>
      </w:r>
    </w:p>
    <w:p w14:paraId="0851CFC1">
      <w:pPr>
        <w:ind w:firstLine="420"/>
        <w:rPr>
          <w:rFonts w:hint="eastAsia" w:ascii="宋体" w:hAnsi="宋体" w:eastAsia="宋体"/>
          <w:szCs w:val="21"/>
        </w:rPr>
      </w:pPr>
      <w:r>
        <w:rPr>
          <w:rFonts w:hint="eastAsia" w:ascii="宋体" w:hAnsi="宋体" w:eastAsia="宋体"/>
          <w:szCs w:val="21"/>
        </w:rPr>
        <w:t>该生期货交易能力的提升需采取“扬长补短、虚实结合”的系统化策略。首要任务是重塑认知框架，强化实战衔接。其数据分析的企业评分与自我评价存在显著落差，反映出理论认知与市场需求的严重脱节。建议建立“交易日志-市场复盘-导师反馈”的三维校正机制，通过对比真实行情波动与自身决策逻辑，精准识别认知偏差。可引入行业真实案例进行反向推演，重点训练在信息不完备条件下的快速决策能力，培养以市场为导向的分析思维。</w:t>
      </w:r>
    </w:p>
    <w:p w14:paraId="03F0D34B">
      <w:pPr>
        <w:ind w:firstLine="420"/>
        <w:rPr>
          <w:rFonts w:hint="eastAsia" w:ascii="宋体" w:hAnsi="宋体" w:eastAsia="宋体"/>
          <w:szCs w:val="21"/>
        </w:rPr>
      </w:pPr>
      <w:r>
        <w:rPr>
          <w:rFonts w:hint="eastAsia" w:ascii="宋体" w:hAnsi="宋体" w:eastAsia="宋体"/>
          <w:szCs w:val="21"/>
        </w:rPr>
        <w:t>核心突破口在于夯实操作基础与动态策略能力。系统操作能力的薄弱已直接影响交易执行效率，需开展高频次的模块化专项训练，重点突破多线程订单处理、快速参数调整等核心操作场景。同时，应着力提升策略的适应性与灵活性：通过设置不同市场周期（单边市、震荡市）的模拟环境，训练其根据波动特征动态调整仓位管理、止盈止损策略的能力，打破僵化的策略执行模式。</w:t>
      </w:r>
    </w:p>
    <w:p w14:paraId="54E0C732">
      <w:pPr>
        <w:ind w:firstLine="420"/>
        <w:rPr>
          <w:rFonts w:hint="eastAsia" w:ascii="宋体" w:hAnsi="宋体" w:eastAsia="宋体"/>
          <w:szCs w:val="21"/>
        </w:rPr>
      </w:pPr>
      <w:r>
        <w:rPr>
          <w:rFonts w:hint="eastAsia" w:ascii="宋体" w:hAnsi="宋体" w:eastAsia="宋体"/>
          <w:szCs w:val="21"/>
        </w:rPr>
        <w:t>关键在于构建持续迭代的交易心智。建议将其优势领域（如风险控制）的方法论迁移至短板环节，例如将风控的严谨性应用于策略优化流程。通过参与高仿真交易竞赛，在真实压力环境下检验其知识体系的完整性，重点观察在连续亏损或突发波动中的情绪稳定性与策略执行力。唯有将实战反馈转化为持续优化的内在动力，才能逐步弥合认知与实操的断层，实现从“交易学习者”到“交易实践者”的本质转变。</w:t>
      </w:r>
      <w:bookmarkStart w:id="0" w:name="_GoBack"/>
      <w:bookmarkEnd w:id="0"/>
    </w:p>
    <w:p w14:paraId="50661EAC">
      <w:pPr>
        <w:rPr>
          <w:rFonts w:hint="eastAsia" w:ascii="宋体" w:hAnsi="宋体" w:eastAsia="宋体"/>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85D"/>
    <w:rsid w:val="00004E18"/>
    <w:rsid w:val="000359C8"/>
    <w:rsid w:val="003861F7"/>
    <w:rsid w:val="00416D49"/>
    <w:rsid w:val="004A24BA"/>
    <w:rsid w:val="005260A9"/>
    <w:rsid w:val="005F19AA"/>
    <w:rsid w:val="0064531A"/>
    <w:rsid w:val="006E67A3"/>
    <w:rsid w:val="00816E86"/>
    <w:rsid w:val="009574C4"/>
    <w:rsid w:val="0096146D"/>
    <w:rsid w:val="00964AF6"/>
    <w:rsid w:val="00A759AE"/>
    <w:rsid w:val="00AF16F7"/>
    <w:rsid w:val="00B2185D"/>
    <w:rsid w:val="00C4702A"/>
    <w:rsid w:val="00C67231"/>
    <w:rsid w:val="00CE426C"/>
    <w:rsid w:val="00E370A9"/>
    <w:rsid w:val="00E538E1"/>
    <w:rsid w:val="00F458C5"/>
    <w:rsid w:val="1AAB48DD"/>
    <w:rsid w:val="444F2A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jc w:val="left"/>
    </w:pPr>
    <w:rPr>
      <w:sz w:val="18"/>
      <w:szCs w:val="18"/>
    </w:rPr>
  </w:style>
  <w:style w:type="paragraph" w:styleId="12">
    <w:name w:val="header"/>
    <w:basedOn w:val="1"/>
    <w:link w:val="35"/>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uiPriority w:val="9"/>
    <w:rPr>
      <w:rFonts w:cstheme="majorBidi"/>
      <w:color w:val="104862" w:themeColor="accent1" w:themeShade="BF"/>
      <w:sz w:val="28"/>
      <w:szCs w:val="28"/>
    </w:rPr>
  </w:style>
  <w:style w:type="character" w:customStyle="1" w:styleId="21">
    <w:name w:val="标题 5 字符"/>
    <w:basedOn w:val="16"/>
    <w:link w:val="6"/>
    <w:semiHidden/>
    <w:uiPriority w:val="9"/>
    <w:rPr>
      <w:rFonts w:cstheme="majorBidi"/>
      <w:color w:val="104862" w:themeColor="accent1" w:themeShade="BF"/>
      <w:sz w:val="24"/>
      <w:szCs w:val="24"/>
    </w:rPr>
  </w:style>
  <w:style w:type="character" w:customStyle="1" w:styleId="22">
    <w:name w:val="标题 6 字符"/>
    <w:basedOn w:val="16"/>
    <w:link w:val="7"/>
    <w:semiHidden/>
    <w:uiPriority w:val="9"/>
    <w:rPr>
      <w:rFonts w:cstheme="majorBidi"/>
      <w:b/>
      <w:bCs/>
      <w:color w:val="104862" w:themeColor="accent1" w:themeShade="BF"/>
    </w:rPr>
  </w:style>
  <w:style w:type="character" w:customStyle="1" w:styleId="23">
    <w:name w:val="标题 7 字符"/>
    <w:basedOn w:val="16"/>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5.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能力评分统计</a:t>
            </a:r>
            <a:endParaRPr lang="zh-CN" altLang="en-US"/>
          </a:p>
        </c:rich>
      </c:tx>
      <c:layout/>
      <c:overlay val="0"/>
      <c:spPr>
        <a:noFill/>
        <a:ln>
          <a:noFill/>
        </a:ln>
        <a:effectLst/>
      </c:spPr>
    </c:title>
    <c:autoTitleDeleted val="0"/>
    <c:plotArea>
      <c:layout/>
      <c:barChart>
        <c:barDir val="col"/>
        <c:grouping val="clustered"/>
        <c:varyColors val="0"/>
        <c:ser>
          <c:idx val="0"/>
          <c:order val="0"/>
          <c:tx>
            <c:strRef>
              <c:f>[李思汉.xlsx]Sheet1!$B$2</c:f>
              <c:strCache>
                <c:ptCount val="1"/>
                <c:pt idx="0">
                  <c:v>学校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[李思汉.xlsx]Sheet1!$B$3:$B$8</c:f>
              <c:numCache>
                <c:formatCode>General</c:formatCode>
                <c:ptCount val="6"/>
                <c:pt idx="0">
                  <c:v>62</c:v>
                </c:pt>
                <c:pt idx="1">
                  <c:v>88</c:v>
                </c:pt>
                <c:pt idx="2">
                  <c:v>89</c:v>
                </c:pt>
                <c:pt idx="3">
                  <c:v>59</c:v>
                </c:pt>
                <c:pt idx="4">
                  <c:v>86</c:v>
                </c:pt>
                <c:pt idx="5">
                  <c:v>56</c:v>
                </c:pt>
              </c:numCache>
            </c:numRef>
          </c:val>
        </c:ser>
        <c:ser>
          <c:idx val="1"/>
          <c:order val="1"/>
          <c:tx>
            <c:strRef>
              <c:f>[李思汉.xlsx]Sheet1!$C$2</c:f>
              <c:strCache>
                <c:ptCount val="1"/>
                <c:pt idx="0">
                  <c:v>企业</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[李思汉.xlsx]Sheet1!$C$3:$C$8</c:f>
              <c:numCache>
                <c:formatCode>General</c:formatCode>
                <c:ptCount val="6"/>
                <c:pt idx="1">
                  <c:v>48</c:v>
                </c:pt>
                <c:pt idx="3">
                  <c:v>85</c:v>
                </c:pt>
              </c:numCache>
            </c:numRef>
          </c:val>
        </c:ser>
        <c:ser>
          <c:idx val="2"/>
          <c:order val="2"/>
          <c:tx>
            <c:strRef>
              <c:f>[李思汉.xlsx]Sheet1!$D$2</c:f>
              <c:strCache>
                <c:ptCount val="1"/>
                <c:pt idx="0">
                  <c:v>学生自评</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[李思汉.xlsx]Sheet1!$D$3:$D$8</c:f>
              <c:numCache>
                <c:formatCode>General</c:formatCode>
                <c:ptCount val="6"/>
                <c:pt idx="5">
                  <c:v>79</c:v>
                </c:pt>
              </c:numCache>
            </c:numRef>
          </c:val>
        </c:ser>
        <c:ser>
          <c:idx val="3"/>
          <c:order val="3"/>
          <c:tx>
            <c:strRef>
              <c:f>[李思汉.xlsx]Sheet1!$E$2</c:f>
              <c:strCache>
                <c:ptCount val="1"/>
                <c:pt idx="0">
                  <c:v>学生互评</c:v>
                </c:pt>
              </c:strCache>
            </c:strRef>
          </c:tx>
          <c:spPr>
            <a:solidFill>
              <a:schemeClr val="accent4"/>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[李思汉.xlsx]Sheet1!$E$3:$E$8</c:f>
              <c:numCache>
                <c:formatCode>General</c:formatCode>
                <c:ptCount val="6"/>
                <c:pt idx="3">
                  <c:v>71</c:v>
                </c:pt>
                <c:pt idx="4">
                  <c:v>92</c:v>
                </c:pt>
                <c:pt idx="5">
                  <c:v>79</c:v>
                </c:pt>
              </c:numCache>
            </c:numRef>
          </c:val>
        </c:ser>
        <c:dLbls>
          <c:showLegendKey val="0"/>
          <c:showVal val="1"/>
          <c:showCatName val="0"/>
          <c:showSerName val="0"/>
          <c:showPercent val="0"/>
          <c:showBubbleSize val="0"/>
        </c:dLbls>
        <c:gapWidth val="246"/>
        <c:overlap val="-28"/>
        <c:axId val="283512225"/>
        <c:axId val="726200632"/>
      </c:barChart>
      <c:catAx>
        <c:axId val="283512225"/>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26200632"/>
        <c:crosses val="autoZero"/>
        <c:auto val="1"/>
        <c:lblAlgn val="ctr"/>
        <c:lblOffset val="100"/>
        <c:noMultiLvlLbl val="0"/>
      </c:catAx>
      <c:valAx>
        <c:axId val="72620063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8351222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86da540-1c33-4d98-9fa0-e2712aa2b74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[李思汉.xlsx]Sheet1!$A$4</c:f>
              <c:strCache>
                <c:ptCount val="1"/>
                <c:pt idx="0">
                  <c:v>数据分析</c:v>
                </c:pt>
              </c:strCache>
            </c:strRef>
          </c:tx>
          <c:spPr>
            <a:solidFill>
              <a:schemeClr val="accent1"/>
            </a:solidFill>
            <a:ln>
              <a:noFill/>
            </a:ln>
            <a:effectLst/>
          </c:spPr>
          <c:invertIfNegative val="0"/>
          <c:dLbls>
            <c:delete val="1"/>
          </c:dLbls>
          <c:cat>
            <c:strRef>
              <c:f>[李思汉.xlsx]Sheet1!$B$2:$C$2</c:f>
              <c:strCache>
                <c:ptCount val="2"/>
                <c:pt idx="0">
                  <c:v>学校</c:v>
                </c:pt>
                <c:pt idx="1">
                  <c:v>企业</c:v>
                </c:pt>
              </c:strCache>
            </c:strRef>
          </c:cat>
          <c:val>
            <c:numRef>
              <c:f>[李思汉.xlsx]Sheet1!$B$4:$C$4</c:f>
              <c:numCache>
                <c:formatCode>General</c:formatCode>
                <c:ptCount val="2"/>
                <c:pt idx="0">
                  <c:v>88</c:v>
                </c:pt>
                <c:pt idx="1">
                  <c:v>48</c:v>
                </c:pt>
              </c:numCache>
            </c:numRef>
          </c:val>
        </c:ser>
        <c:dLbls>
          <c:showLegendKey val="0"/>
          <c:showVal val="0"/>
          <c:showCatName val="0"/>
          <c:showSerName val="0"/>
          <c:showPercent val="0"/>
          <c:showBubbleSize val="0"/>
        </c:dLbls>
        <c:gapWidth val="246"/>
        <c:overlap val="-28"/>
        <c:axId val="494189291"/>
        <c:axId val="255007185"/>
      </c:barChart>
      <c:catAx>
        <c:axId val="494189291"/>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5007185"/>
        <c:crosses val="autoZero"/>
        <c:auto val="1"/>
        <c:lblAlgn val="ctr"/>
        <c:lblOffset val="100"/>
        <c:noMultiLvlLbl val="0"/>
      </c:catAx>
      <c:valAx>
        <c:axId val="255007185"/>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418929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9596916-4597-4d52-ac75-54d592967a6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[李思汉.xlsx]Sheet1!$A$6</c:f>
              <c:strCache>
                <c:ptCount val="1"/>
                <c:pt idx="0">
                  <c:v>方案定制</c:v>
                </c:pt>
              </c:strCache>
            </c:strRef>
          </c:tx>
          <c:spPr>
            <a:solidFill>
              <a:schemeClr val="accent1"/>
            </a:solidFill>
            <a:ln>
              <a:noFill/>
            </a:ln>
            <a:effectLst/>
          </c:spPr>
          <c:invertIfNegative val="0"/>
          <c:dLbls>
            <c:delete val="1"/>
          </c:dLbls>
          <c:cat>
            <c:strRef>
              <c:f>[李思汉.xlsx]Sheet1!$B$2:$E$2</c:f>
              <c:strCache>
                <c:ptCount val="3"/>
                <c:pt idx="0">
                  <c:v>学校</c:v>
                </c:pt>
                <c:pt idx="1">
                  <c:v>企业</c:v>
                </c:pt>
                <c:pt idx="2">
                  <c:v>学生互评</c:v>
                </c:pt>
              </c:strCache>
            </c:strRef>
          </c:cat>
          <c:val>
            <c:numRef>
              <c:f>Sheet1!$B$6:$E$6</c:f>
              <c:numCache>
                <c:formatCode>General</c:formatCode>
                <c:ptCount val="3"/>
                <c:pt idx="0">
                  <c:v>59</c:v>
                </c:pt>
                <c:pt idx="1">
                  <c:v>85</c:v>
                </c:pt>
                <c:pt idx="2">
                  <c:v>71</c:v>
                </c:pt>
              </c:numCache>
            </c:numRef>
          </c:val>
        </c:ser>
        <c:dLbls>
          <c:showLegendKey val="0"/>
          <c:showVal val="0"/>
          <c:showCatName val="0"/>
          <c:showSerName val="0"/>
          <c:showPercent val="0"/>
          <c:showBubbleSize val="0"/>
        </c:dLbls>
        <c:gapWidth val="246"/>
        <c:overlap val="-28"/>
        <c:axId val="849691086"/>
        <c:axId val="394066231"/>
      </c:barChart>
      <c:catAx>
        <c:axId val="84969108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94066231"/>
        <c:crosses val="autoZero"/>
        <c:auto val="1"/>
        <c:lblAlgn val="ctr"/>
        <c:lblOffset val="100"/>
        <c:noMultiLvlLbl val="0"/>
      </c:catAx>
      <c:valAx>
        <c:axId val="394066231"/>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4969108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4054248a-7418-4da5-911f-aa04d927055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[李思汉.xlsx]Sheet1!$A$7</c:f>
              <c:strCache>
                <c:ptCount val="1"/>
                <c:pt idx="0">
                  <c:v>工具实操</c:v>
                </c:pt>
              </c:strCache>
            </c:strRef>
          </c:tx>
          <c:spPr>
            <a:solidFill>
              <a:schemeClr val="accent1"/>
            </a:solidFill>
            <a:ln>
              <a:noFill/>
            </a:ln>
            <a:effectLst/>
          </c:spPr>
          <c:invertIfNegative val="0"/>
          <c:dLbls>
            <c:delete val="1"/>
          </c:dLbls>
          <c:cat>
            <c:strRef>
              <c:f>[李思汉.xlsx]Sheet1!$B$2:$E$2</c:f>
              <c:strCache>
                <c:ptCount val="2"/>
                <c:pt idx="0">
                  <c:v>学校</c:v>
                </c:pt>
                <c:pt idx="1">
                  <c:v>学生互评</c:v>
                </c:pt>
              </c:strCache>
            </c:strRef>
          </c:cat>
          <c:val>
            <c:numRef>
              <c:f>Sheet1!$B$7:$E$7</c:f>
              <c:numCache>
                <c:formatCode>General</c:formatCode>
                <c:ptCount val="2"/>
                <c:pt idx="0">
                  <c:v>86</c:v>
                </c:pt>
                <c:pt idx="1">
                  <c:v>92</c:v>
                </c:pt>
              </c:numCache>
            </c:numRef>
          </c:val>
        </c:ser>
        <c:dLbls>
          <c:showLegendKey val="0"/>
          <c:showVal val="0"/>
          <c:showCatName val="0"/>
          <c:showSerName val="0"/>
          <c:showPercent val="0"/>
          <c:showBubbleSize val="0"/>
        </c:dLbls>
        <c:gapWidth val="246"/>
        <c:overlap val="-28"/>
        <c:axId val="58229482"/>
        <c:axId val="398104071"/>
      </c:barChart>
      <c:catAx>
        <c:axId val="5822948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98104071"/>
        <c:crosses val="autoZero"/>
        <c:auto val="1"/>
        <c:lblAlgn val="ctr"/>
        <c:lblOffset val="100"/>
        <c:noMultiLvlLbl val="0"/>
      </c:catAx>
      <c:valAx>
        <c:axId val="398104071"/>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822948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90ac991-bed8-4b9b-ab1a-7cda2537644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[李思汉.xlsx]Sheet1!$A$8</c:f>
              <c:strCache>
                <c:ptCount val="1"/>
                <c:pt idx="0">
                  <c:v>调整优化</c:v>
                </c:pt>
              </c:strCache>
            </c:strRef>
          </c:tx>
          <c:spPr>
            <a:solidFill>
              <a:schemeClr val="accent1"/>
            </a:solidFill>
            <a:ln>
              <a:noFill/>
            </a:ln>
            <a:effectLst/>
          </c:spPr>
          <c:invertIfNegative val="0"/>
          <c:dLbls>
            <c:delete val="1"/>
          </c:dLbls>
          <c:cat>
            <c:strRef>
              <c:f>[李思汉.xlsx]Sheet1!$B$2:$E$2</c:f>
              <c:strCache>
                <c:ptCount val="3"/>
                <c:pt idx="0">
                  <c:v>学校</c:v>
                </c:pt>
                <c:pt idx="1">
                  <c:v>学生自评</c:v>
                </c:pt>
                <c:pt idx="2">
                  <c:v>学生互评</c:v>
                </c:pt>
              </c:strCache>
            </c:strRef>
          </c:cat>
          <c:val>
            <c:numRef>
              <c:f>Sheet1!$B$8:$E$8</c:f>
              <c:numCache>
                <c:formatCode>General</c:formatCode>
                <c:ptCount val="3"/>
                <c:pt idx="0">
                  <c:v>56</c:v>
                </c:pt>
                <c:pt idx="1">
                  <c:v>79</c:v>
                </c:pt>
                <c:pt idx="2">
                  <c:v>79</c:v>
                </c:pt>
              </c:numCache>
            </c:numRef>
          </c:val>
        </c:ser>
        <c:dLbls>
          <c:showLegendKey val="0"/>
          <c:showVal val="0"/>
          <c:showCatName val="0"/>
          <c:showSerName val="0"/>
          <c:showPercent val="0"/>
          <c:showBubbleSize val="0"/>
        </c:dLbls>
        <c:gapWidth val="246"/>
        <c:overlap val="-28"/>
        <c:axId val="733809804"/>
        <c:axId val="122641585"/>
      </c:barChart>
      <c:catAx>
        <c:axId val="73380980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2641585"/>
        <c:crosses val="autoZero"/>
        <c:auto val="1"/>
        <c:lblAlgn val="ctr"/>
        <c:lblOffset val="100"/>
        <c:noMultiLvlLbl val="0"/>
      </c:catAx>
      <c:valAx>
        <c:axId val="122641585"/>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3380980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86df2f7-f500-4e4a-b3fd-5d705713b6b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2841</Words>
  <Characters>2899</Characters>
  <Lines>76</Lines>
  <Paragraphs>52</Paragraphs>
  <TotalTime>71</TotalTime>
  <ScaleCrop>false</ScaleCrop>
  <LinksUpToDate>false</LinksUpToDate>
  <CharactersWithSpaces>2899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2025-09-27T10:59:00Z</dcterms:created>
  <dc:creator>庆敏 侯</dc:creator>
  <cp:lastModifiedBy>Sternstunde</cp:lastModifiedBy>
  <dcterms:modified xsi:type="dcterms:W3CDTF">2025-09-29T12:31:35Z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eyJoZGlkIjoiZWQyMWE4Zjg0MmRlODNhZGU0MGE5ODQ2MWVhMzIzM2EiLCJ1c2VySWQiOiI0Mjk5MDk4NDUifQ==</vt:lpwstr>
  </property>
  <property fmtid="{D5CDD505-2E9C-101B-9397-08002B2CF9AE}" pid="3" name="KSOProductBuildVer">
    <vt:lpwstr>2052-12.1.0.23125</vt:lpwstr>
  </property>
  <property fmtid="{D5CDD505-2E9C-101B-9397-08002B2CF9AE}" pid="4" name="ICV">
    <vt:lpwstr>600C1881F65E4A7DBDB409C411B50D34_13</vt:lpwstr>
  </property>
</Properties>
</file>