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89044">
      <w:pPr>
        <w:jc w:val="center"/>
        <w:rPr>
          <w:rFonts w:hint="eastAsia" w:ascii="宋体" w:hAnsi="宋体" w:eastAsia="宋体"/>
          <w:color w:val="auto"/>
          <w:szCs w:val="21"/>
        </w:rPr>
      </w:pPr>
      <w:r>
        <w:rPr>
          <w:rFonts w:hint="eastAsia" w:ascii="宋体" w:hAnsi="宋体" w:eastAsia="宋体"/>
          <w:color w:val="auto"/>
          <w:szCs w:val="21"/>
        </w:rPr>
        <w:t>期货模拟交易大赛实战--能力分析报告</w:t>
      </w:r>
    </w:p>
    <w:p w14:paraId="277357C6">
      <w:pPr>
        <w:rPr>
          <w:rFonts w:hint="eastAsia" w:ascii="宋体" w:hAnsi="宋体" w:eastAsia="宋体"/>
          <w:color w:val="auto"/>
          <w:szCs w:val="21"/>
          <w:lang w:eastAsia="zh-CN"/>
        </w:rPr>
      </w:pPr>
      <w:r>
        <w:rPr>
          <w:rFonts w:hint="eastAsia" w:ascii="宋体" w:hAnsi="宋体" w:eastAsia="宋体"/>
          <w:color w:val="auto"/>
          <w:szCs w:val="21"/>
        </w:rPr>
        <w:t>学号：233061301136</w:t>
      </w:r>
    </w:p>
    <w:p w14:paraId="0EFAFCF5">
      <w:pPr>
        <w:rPr>
          <w:rFonts w:hint="eastAsia" w:ascii="宋体" w:hAnsi="宋体" w:eastAsia="宋体"/>
          <w:color w:val="auto"/>
          <w:szCs w:val="21"/>
        </w:rPr>
      </w:pPr>
      <w:r>
        <w:rPr>
          <w:rFonts w:hint="eastAsia" w:ascii="宋体" w:hAnsi="宋体" w:eastAsia="宋体"/>
          <w:color w:val="auto"/>
          <w:szCs w:val="21"/>
        </w:rPr>
        <w:t>姓名：魏金娣</w:t>
      </w:r>
    </w:p>
    <w:p w14:paraId="4DC6F50E">
      <w:pPr>
        <w:rPr>
          <w:rFonts w:hint="eastAsia" w:ascii="宋体" w:hAnsi="宋体" w:eastAsia="宋体"/>
          <w:color w:val="auto"/>
          <w:szCs w:val="21"/>
        </w:rPr>
      </w:pPr>
      <w:r>
        <w:rPr>
          <w:rFonts w:hint="eastAsia" w:ascii="宋体" w:hAnsi="宋体" w:eastAsia="宋体"/>
          <w:color w:val="auto"/>
          <w:szCs w:val="21"/>
        </w:rPr>
        <w:t>总分：73（详见项目评分标准）</w:t>
      </w:r>
    </w:p>
    <w:p w14:paraId="64B400D0">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89900649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68900686">
      <w:pPr>
        <w:rPr>
          <w:rFonts w:hint="eastAsia" w:ascii="宋体" w:hAnsi="宋体" w:eastAsia="宋体"/>
          <w:color w:val="auto"/>
          <w:szCs w:val="21"/>
        </w:rPr>
      </w:pPr>
      <w:r>
        <w:rPr>
          <w:rFonts w:hint="eastAsia" w:ascii="宋体" w:hAnsi="宋体" w:eastAsia="宋体"/>
          <w:color w:val="auto"/>
          <w:szCs w:val="21"/>
        </w:rPr>
        <w:t>从整体来看：</w:t>
      </w:r>
    </w:p>
    <w:p w14:paraId="060ABBB2">
      <w:pPr>
        <w:rPr>
          <w:rFonts w:hint="eastAsia" w:ascii="宋体" w:hAnsi="宋体" w:eastAsia="宋体"/>
          <w:color w:val="auto"/>
          <w:szCs w:val="21"/>
        </w:rPr>
      </w:pPr>
      <w:r>
        <w:rPr>
          <w:rFonts w:ascii="宋体" w:hAnsi="宋体" w:eastAsia="宋体"/>
          <w:color w:val="auto"/>
          <w:szCs w:val="21"/>
        </w:rPr>
        <w:t>优势</w:t>
      </w:r>
      <w:r>
        <w:rPr>
          <w:rFonts w:ascii="宋体" w:hAnsi="宋体" w:eastAsia="宋体"/>
          <w:color w:val="auto"/>
          <w:szCs w:val="21"/>
        </w:rPr>
        <w:br w:type="textWrapping"/>
      </w:r>
      <w:r>
        <w:rPr>
          <w:rFonts w:ascii="宋体" w:hAnsi="宋体" w:eastAsia="宋体"/>
          <w:color w:val="auto"/>
          <w:szCs w:val="21"/>
        </w:rPr>
        <w:t>该生在期货交易课程中展现出良好的风险控制能力和工具应用基础。其风险管控表现稳健可靠，显示出对市场波动具有扎实的防御意识；在工具实操方面不仅自信充足，更获得团队的高度认可，体现出较强的动手能力和协作精神。同时，该生对自身数据分析能力抱有信心，显示出一定的分析潜力，这些特质为其后续发展奠定了重要基础。</w:t>
      </w:r>
    </w:p>
    <w:p w14:paraId="64CF6278">
      <w:pPr>
        <w:rPr>
          <w:rFonts w:hint="eastAsia" w:ascii="宋体" w:hAnsi="宋体" w:eastAsia="宋体"/>
          <w:color w:val="auto"/>
          <w:szCs w:val="21"/>
        </w:rPr>
      </w:pPr>
      <w:r>
        <w:rPr>
          <w:rFonts w:ascii="宋体" w:hAnsi="宋体" w:eastAsia="宋体"/>
          <w:color w:val="auto"/>
          <w:szCs w:val="21"/>
        </w:rPr>
        <w:t>短板</w:t>
      </w:r>
      <w:r>
        <w:rPr>
          <w:rFonts w:ascii="宋体" w:hAnsi="宋体" w:eastAsia="宋体"/>
          <w:color w:val="auto"/>
          <w:szCs w:val="21"/>
        </w:rPr>
        <w:br w:type="textWrapping"/>
      </w:r>
      <w:r>
        <w:rPr>
          <w:rFonts w:ascii="宋体" w:hAnsi="宋体" w:eastAsia="宋体"/>
          <w:color w:val="auto"/>
          <w:szCs w:val="21"/>
        </w:rPr>
        <w:t>然而，该生在关键能力领域存在明显不足。系统操作能力薄弱成为制约交易效率的主要瓶颈，方案定制与调整优化能力也有待加强，反映出其在策略构建和动态应对方面存在短板。特别需要关注的是，企业对其数据分析能力的评价与自我认知形成较大反差，表明其分析方法与真实市场需求存在脱节。这些不足若不能有效改善，将影响其从理论学习向实战应用的转化效果。</w:t>
      </w:r>
    </w:p>
    <w:p w14:paraId="5E9381A7">
      <w:pPr>
        <w:rPr>
          <w:rFonts w:hint="eastAsia" w:ascii="宋体" w:hAnsi="宋体" w:eastAsia="宋体"/>
          <w:color w:val="auto"/>
          <w:szCs w:val="21"/>
        </w:rPr>
      </w:pPr>
    </w:p>
    <w:p w14:paraId="5BE1C752">
      <w:pPr>
        <w:rPr>
          <w:rFonts w:hint="eastAsia" w:ascii="宋体" w:hAnsi="宋体" w:eastAsia="宋体"/>
          <w:color w:val="auto"/>
          <w:szCs w:val="21"/>
        </w:rPr>
      </w:pPr>
      <w:r>
        <w:rPr>
          <w:rFonts w:hint="eastAsia" w:ascii="宋体" w:hAnsi="宋体" w:eastAsia="宋体"/>
          <w:color w:val="auto"/>
          <w:szCs w:val="21"/>
        </w:rPr>
        <w:t>具体来看：</w:t>
      </w:r>
    </w:p>
    <w:p w14:paraId="7FA884F4">
      <w:pPr>
        <w:rPr>
          <w:rFonts w:hint="eastAsia" w:ascii="宋体" w:hAnsi="宋体" w:eastAsia="宋体"/>
          <w:color w:val="auto"/>
          <w:szCs w:val="21"/>
        </w:rPr>
      </w:pPr>
      <w:r>
        <w:rPr>
          <w:rFonts w:hint="eastAsia" w:ascii="宋体" w:hAnsi="宋体" w:eastAsia="宋体"/>
          <w:color w:val="auto"/>
          <w:szCs w:val="21"/>
        </w:rPr>
        <w:t>系统操作能力</w:t>
      </w:r>
    </w:p>
    <w:p w14:paraId="7F01819E">
      <w:pPr>
        <w:ind w:firstLine="420"/>
        <w:rPr>
          <w:rFonts w:hint="eastAsia" w:ascii="宋体" w:hAnsi="宋体" w:eastAsia="宋体"/>
          <w:color w:val="auto"/>
          <w:szCs w:val="21"/>
        </w:rPr>
      </w:pPr>
      <w:r>
        <w:rPr>
          <w:rFonts w:ascii="宋体" w:hAnsi="宋体" w:eastAsia="宋体"/>
          <w:color w:val="auto"/>
          <w:szCs w:val="21"/>
        </w:rPr>
        <w:t>在系统操作能力上，学校给出了</w:t>
      </w:r>
      <w:r>
        <w:rPr>
          <w:rFonts w:hint="eastAsia" w:ascii="宋体" w:hAnsi="宋体" w:eastAsia="宋体"/>
          <w:color w:val="auto"/>
          <w:szCs w:val="21"/>
        </w:rPr>
        <w:t>61</w:t>
      </w:r>
      <w:r>
        <w:rPr>
          <w:rFonts w:ascii="宋体" w:hAnsi="宋体" w:eastAsia="宋体"/>
          <w:color w:val="auto"/>
          <w:szCs w:val="21"/>
        </w:rPr>
        <w:t>分的评价。这意味着</w:t>
      </w:r>
      <w:r>
        <w:rPr>
          <w:rFonts w:hint="eastAsia" w:ascii="宋体" w:hAnsi="宋体" w:eastAsia="宋体"/>
          <w:color w:val="auto"/>
          <w:szCs w:val="21"/>
        </w:rPr>
        <w:t>勉强完成操作任务，正确率在65%-74%之间，操作不太熟练，出现较多小失误，需要多次尝试才能完成部分操作。</w:t>
      </w:r>
    </w:p>
    <w:p w14:paraId="3BAB35E1">
      <w:pPr>
        <w:ind w:firstLine="420"/>
        <w:rPr>
          <w:rFonts w:hint="eastAsia" w:ascii="宋体" w:hAnsi="宋体" w:eastAsia="宋体"/>
          <w:color w:val="auto"/>
          <w:szCs w:val="21"/>
        </w:rPr>
      </w:pPr>
      <w:r>
        <w:rPr>
          <w:rFonts w:ascii="宋体" w:hAnsi="宋体" w:eastAsia="宋体"/>
          <w:color w:val="auto"/>
          <w:szCs w:val="21"/>
        </w:rPr>
        <w:t>该生对交易平台的掌握仍停留在基础功能认知层面，尚未形成系统化的操作能力架构。尤其在处理组合指令时，其响应速度与执行准确性明显下降；当面临操作流程中断或系统突发故障时，更暴露出应急处置经验的匮乏。未来应通过高拟真度环境中的压力情景演练与异常状态模拟，着重强化其在复杂交易情境下的平台驾驭能力及技术故障应对水平，循序渐进地构建兼具稳定性、可靠性与适应性的操作能力框架。</w:t>
      </w:r>
    </w:p>
    <w:p w14:paraId="7C6D893E">
      <w:pPr>
        <w:ind w:firstLine="420"/>
        <w:rPr>
          <w:rFonts w:hint="eastAsia" w:ascii="宋体" w:hAnsi="宋体" w:eastAsia="宋体"/>
          <w:color w:val="auto"/>
          <w:szCs w:val="21"/>
        </w:rPr>
      </w:pPr>
      <w:r>
        <w:rPr>
          <w:rFonts w:hint="eastAsia" w:ascii="宋体" w:hAnsi="宋体" w:eastAsia="宋体"/>
          <w:color w:val="auto"/>
          <w:szCs w:val="21"/>
        </w:rPr>
        <w:t>数据分析能力</w:t>
      </w:r>
    </w:p>
    <w:p w14:paraId="1136FB0C">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51537829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74A6E8D">
      <w:pPr>
        <w:ind w:firstLine="420"/>
        <w:rPr>
          <w:rFonts w:hint="eastAsia" w:ascii="宋体" w:hAnsi="宋体" w:eastAsia="宋体"/>
          <w:color w:val="auto"/>
          <w:szCs w:val="21"/>
        </w:rPr>
      </w:pPr>
      <w:r>
        <w:rPr>
          <w:rFonts w:hint="eastAsia" w:ascii="宋体" w:hAnsi="宋体" w:eastAsia="宋体"/>
          <w:color w:val="auto"/>
          <w:szCs w:val="21"/>
        </w:rPr>
        <w:t>数据分析能力学校给出82分，企业给出48分。</w:t>
      </w:r>
      <w:r>
        <w:rPr>
          <w:rFonts w:ascii="宋体" w:hAnsi="宋体" w:eastAsia="宋体"/>
          <w:color w:val="auto"/>
          <w:szCs w:val="21"/>
        </w:rPr>
        <w:t>学校方面认为，</w:t>
      </w:r>
      <w:r>
        <w:rPr>
          <w:rFonts w:hint="eastAsia" w:ascii="宋体" w:hAnsi="宋体" w:eastAsia="宋体"/>
          <w:color w:val="auto"/>
          <w:szCs w:val="21"/>
        </w:rPr>
        <w:t>报告分析方法较合理，对数据的分析较深入，结论较可靠，能为决策提供一定参考</w:t>
      </w:r>
      <w:r>
        <w:rPr>
          <w:rFonts w:ascii="宋体" w:hAnsi="宋体" w:eastAsia="宋体"/>
          <w:color w:val="auto"/>
          <w:szCs w:val="21"/>
        </w:rPr>
        <w:t>；而企业方则指出，该</w:t>
      </w:r>
      <w:r>
        <w:rPr>
          <w:rFonts w:hint="eastAsia" w:ascii="宋体" w:hAnsi="宋体" w:eastAsia="宋体"/>
          <w:color w:val="auto"/>
          <w:szCs w:val="21"/>
        </w:rPr>
        <w:t>数据分析结果对企业业务基本无指导价值，无法为企业带来实际效益</w:t>
      </w:r>
      <w:r>
        <w:rPr>
          <w:rFonts w:ascii="宋体" w:hAnsi="宋体" w:eastAsia="宋体"/>
          <w:color w:val="auto"/>
          <w:szCs w:val="21"/>
        </w:rPr>
        <w:t>。当前分析工作的深度与创新性尚难以匹配客户日益提升的多元化需求。为突破这一局限，亟需建立以真实业务场景为导向的深度研究体系，通过精准识别不同客户群体的核心痛点与潜在需求，将创新资源集中投放于关键价值领域。在此基础上，应着力推动分析成果向实战应用的有效转化，确保解决方案既具备理论前瞻性，又能切实解决业务实际问题，最终实现客户价值感知与满意度的持续提升。</w:t>
      </w:r>
    </w:p>
    <w:p w14:paraId="7A8AEDF5">
      <w:pPr>
        <w:ind w:firstLine="420"/>
        <w:rPr>
          <w:rFonts w:hint="eastAsia" w:ascii="宋体" w:hAnsi="宋体" w:eastAsia="宋体"/>
          <w:color w:val="auto"/>
          <w:szCs w:val="21"/>
        </w:rPr>
      </w:pPr>
      <w:r>
        <w:rPr>
          <w:rFonts w:hint="eastAsia" w:ascii="宋体" w:hAnsi="宋体" w:eastAsia="宋体"/>
          <w:color w:val="auto"/>
          <w:szCs w:val="21"/>
        </w:rPr>
        <w:t>风险控制能力</w:t>
      </w:r>
    </w:p>
    <w:p w14:paraId="0FED7C3E">
      <w:pPr>
        <w:ind w:firstLine="420"/>
        <w:rPr>
          <w:rFonts w:hint="eastAsia" w:ascii="宋体" w:hAnsi="宋体" w:eastAsia="宋体"/>
          <w:color w:val="auto"/>
          <w:szCs w:val="21"/>
        </w:rPr>
      </w:pPr>
      <w:r>
        <w:rPr>
          <w:rFonts w:ascii="宋体" w:hAnsi="宋体" w:eastAsia="宋体"/>
          <w:color w:val="auto"/>
          <w:szCs w:val="21"/>
        </w:rPr>
        <w:t>风险控制能力学校评分为</w:t>
      </w:r>
      <w:r>
        <w:rPr>
          <w:rFonts w:hint="eastAsia" w:ascii="宋体" w:hAnsi="宋体" w:eastAsia="宋体"/>
          <w:color w:val="auto"/>
          <w:szCs w:val="21"/>
        </w:rPr>
        <w:t>83</w:t>
      </w:r>
      <w:r>
        <w:rPr>
          <w:rFonts w:ascii="宋体" w:hAnsi="宋体" w:eastAsia="宋体"/>
          <w:color w:val="auto"/>
          <w:szCs w:val="21"/>
        </w:rPr>
        <w:t>分，说明学生在风险发生时</w:t>
      </w:r>
      <w:r>
        <w:rPr>
          <w:rFonts w:hint="eastAsia" w:ascii="宋体" w:hAnsi="宋体" w:eastAsia="宋体"/>
          <w:color w:val="auto"/>
          <w:szCs w:val="21"/>
        </w:rPr>
        <w:t>能较快采取控制措施，及时率和准确率均在85%-94%之间，能有效控制风险。</w:t>
      </w:r>
      <w:r>
        <w:rPr>
          <w:rFonts w:ascii="宋体" w:hAnsi="宋体" w:eastAsia="宋体"/>
          <w:color w:val="auto"/>
          <w:szCs w:val="21"/>
        </w:rPr>
        <w:t>该生已掌握风险管理的基础规范，能够在常规市场环境下按流程执行有效的风险控制。然而，当市场出现剧烈波动或面临结构性风险事件时，决策的时效性与精准度仍需重点提升。未来应通过开展针对性的极端行情模拟与压力测试，强化对复杂风险信号的快速识别与应对能力，推动风险管理模式从被动处置向主动预警和动态调控演进，逐步构建更具适应性与前瞻性的风险控制体系。</w:t>
      </w:r>
    </w:p>
    <w:p w14:paraId="77C019FB">
      <w:pPr>
        <w:ind w:firstLine="420"/>
        <w:rPr>
          <w:rFonts w:hint="eastAsia" w:ascii="宋体" w:hAnsi="宋体" w:eastAsia="宋体"/>
          <w:color w:val="auto"/>
          <w:szCs w:val="21"/>
        </w:rPr>
      </w:pPr>
      <w:r>
        <w:rPr>
          <w:rFonts w:hint="eastAsia" w:ascii="宋体" w:hAnsi="宋体" w:eastAsia="宋体"/>
          <w:color w:val="auto"/>
          <w:szCs w:val="21"/>
        </w:rPr>
        <w:t>方案定制能力</w:t>
      </w:r>
    </w:p>
    <w:p w14:paraId="1FB1B144">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55963105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EEA3393">
      <w:pPr>
        <w:ind w:firstLine="420"/>
        <w:rPr>
          <w:rFonts w:hint="eastAsia" w:ascii="宋体" w:hAnsi="宋体" w:eastAsia="宋体"/>
          <w:color w:val="auto"/>
          <w:szCs w:val="21"/>
        </w:rPr>
      </w:pPr>
      <w:r>
        <w:rPr>
          <w:rFonts w:ascii="宋体" w:hAnsi="宋体" w:eastAsia="宋体"/>
          <w:color w:val="auto"/>
          <w:szCs w:val="21"/>
        </w:rPr>
        <w:t>方案定制能力方面，学校评分为</w:t>
      </w:r>
      <w:r>
        <w:rPr>
          <w:rFonts w:hint="eastAsia" w:ascii="宋体" w:hAnsi="宋体" w:eastAsia="宋体"/>
          <w:color w:val="auto"/>
          <w:szCs w:val="21"/>
        </w:rPr>
        <w:t>56</w:t>
      </w:r>
      <w:r>
        <w:rPr>
          <w:rFonts w:ascii="宋体" w:hAnsi="宋体" w:eastAsia="宋体"/>
          <w:color w:val="auto"/>
          <w:szCs w:val="21"/>
        </w:rPr>
        <w:t>分，企业评分为</w:t>
      </w:r>
      <w:r>
        <w:rPr>
          <w:rFonts w:hint="eastAsia" w:ascii="宋体" w:hAnsi="宋体" w:eastAsia="宋体"/>
          <w:color w:val="auto"/>
          <w:szCs w:val="21"/>
        </w:rPr>
        <w:t>88</w:t>
      </w:r>
      <w:r>
        <w:rPr>
          <w:rFonts w:ascii="宋体" w:hAnsi="宋体" w:eastAsia="宋体"/>
          <w:color w:val="auto"/>
          <w:szCs w:val="21"/>
        </w:rPr>
        <w:t>分，学生互评得分为</w:t>
      </w:r>
      <w:r>
        <w:rPr>
          <w:rFonts w:hint="eastAsia" w:ascii="宋体" w:hAnsi="宋体" w:eastAsia="宋体"/>
          <w:color w:val="auto"/>
          <w:szCs w:val="21"/>
        </w:rPr>
        <w:t>75</w:t>
      </w:r>
      <w:r>
        <w:rPr>
          <w:rFonts w:ascii="宋体" w:hAnsi="宋体" w:eastAsia="宋体"/>
          <w:color w:val="auto"/>
          <w:szCs w:val="21"/>
        </w:rPr>
        <w:t>分。学校方面认为</w:t>
      </w:r>
      <w:r>
        <w:rPr>
          <w:rFonts w:hint="eastAsia" w:ascii="宋体" w:hAnsi="宋体" w:eastAsia="宋体"/>
          <w:color w:val="auto"/>
          <w:szCs w:val="21"/>
        </w:rPr>
        <w:t>方案缺乏创新性、针对性和实用性，几乎无法解决客户问题</w:t>
      </w:r>
      <w:r>
        <w:rPr>
          <w:rFonts w:ascii="宋体" w:hAnsi="宋体" w:eastAsia="宋体"/>
          <w:color w:val="auto"/>
          <w:szCs w:val="21"/>
        </w:rPr>
        <w:t>；企业评价指出</w:t>
      </w:r>
      <w:r>
        <w:rPr>
          <w:rFonts w:hint="eastAsia" w:ascii="宋体" w:hAnsi="宋体" w:eastAsia="宋体"/>
          <w:color w:val="auto"/>
          <w:szCs w:val="21"/>
        </w:rPr>
        <w:t>方案与客户反馈匹配度较高，能较好地满足客户需求，客户评价较好</w:t>
      </w:r>
      <w:r>
        <w:rPr>
          <w:rFonts w:ascii="宋体" w:hAnsi="宋体" w:eastAsia="宋体"/>
          <w:color w:val="auto"/>
          <w:szCs w:val="21"/>
        </w:rPr>
        <w:t>；学生互评则反映</w:t>
      </w:r>
      <w:r>
        <w:rPr>
          <w:rFonts w:hint="eastAsia" w:ascii="宋体" w:hAnsi="宋体" w:eastAsia="宋体"/>
          <w:color w:val="auto"/>
          <w:szCs w:val="21"/>
        </w:rPr>
        <w:t>方案创新性不足，但能基本针对客户需求，实用性一般，能提供一定的解决方案</w:t>
      </w:r>
      <w:r>
        <w:rPr>
          <w:rFonts w:ascii="宋体" w:hAnsi="宋体" w:eastAsia="宋体"/>
          <w:color w:val="auto"/>
          <w:szCs w:val="21"/>
        </w:rPr>
        <w:t>。该生已展现出成熟的方案架构素养，能够独立完成条理分明、具备实施条件的基础方案设计，体现了良好的系统化思维能力。但现有成果在创新突破与需求契合方面尚有欠缺，方案呈现模式化倾向，特别是在战略视野、逻辑严密性以及客户需求匹配等维度需要进一步加强。具体表现在设计思路偏重常规路径，对客户个性化诉求的挖掘不够深入；风险预案的周全性和预见性有待完善；理论框架与商业实践的衔接仍需优化。后续应重点培育其商业洞察与价值塑造能力：通过深化实战案例研讨和行业对标分析，增强对客户深层需求的敏锐度；同时推动跨学科方法融合，借助数据挖掘、行为研究等工具，实现方案设计从满足基本需求到创造核心价值的转变，最终建立起具有竞争优势的差异化设计体系。</w:t>
      </w:r>
    </w:p>
    <w:p w14:paraId="79C97F3E">
      <w:pPr>
        <w:ind w:firstLine="420"/>
        <w:rPr>
          <w:rFonts w:hint="eastAsia" w:ascii="宋体" w:hAnsi="宋体" w:eastAsia="宋体"/>
          <w:color w:val="auto"/>
          <w:szCs w:val="21"/>
        </w:rPr>
      </w:pPr>
      <w:r>
        <w:rPr>
          <w:rFonts w:hint="eastAsia" w:ascii="宋体" w:hAnsi="宋体" w:eastAsia="宋体"/>
          <w:color w:val="auto"/>
          <w:szCs w:val="21"/>
        </w:rPr>
        <w:t>工具实操能力</w:t>
      </w:r>
    </w:p>
    <w:p w14:paraId="42235CA4">
      <w:pPr>
        <w:ind w:firstLine="420"/>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6495149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A5E7CD">
      <w:pPr>
        <w:ind w:firstLine="420"/>
        <w:rPr>
          <w:rFonts w:hint="eastAsia" w:ascii="宋体" w:hAnsi="宋体" w:eastAsia="宋体"/>
          <w:color w:val="auto"/>
          <w:szCs w:val="21"/>
        </w:rPr>
      </w:pPr>
      <w:r>
        <w:rPr>
          <w:rFonts w:ascii="宋体" w:hAnsi="宋体" w:eastAsia="宋体"/>
          <w:color w:val="auto"/>
          <w:szCs w:val="21"/>
        </w:rPr>
        <w:t>在工具实操能力方面，学校评分为</w:t>
      </w:r>
      <w:r>
        <w:rPr>
          <w:rFonts w:hint="eastAsia" w:ascii="宋体" w:hAnsi="宋体" w:eastAsia="宋体"/>
          <w:color w:val="auto"/>
          <w:szCs w:val="21"/>
        </w:rPr>
        <w:t>81</w:t>
      </w:r>
      <w:r>
        <w:rPr>
          <w:rFonts w:ascii="宋体" w:hAnsi="宋体" w:eastAsia="宋体"/>
          <w:color w:val="auto"/>
          <w:szCs w:val="21"/>
        </w:rPr>
        <w:t>分，学生互评则为</w:t>
      </w:r>
      <w:r>
        <w:rPr>
          <w:rFonts w:hint="eastAsia" w:ascii="宋体" w:hAnsi="宋体" w:eastAsia="宋体"/>
          <w:color w:val="auto"/>
          <w:szCs w:val="21"/>
        </w:rPr>
        <w:t>90</w:t>
      </w:r>
      <w:r>
        <w:rPr>
          <w:rFonts w:ascii="宋体" w:hAnsi="宋体" w:eastAsia="宋体"/>
          <w:color w:val="auto"/>
          <w:szCs w:val="21"/>
        </w:rPr>
        <w:t>分。学校评价显示，学生的</w:t>
      </w:r>
      <w:r>
        <w:rPr>
          <w:rFonts w:hint="eastAsia" w:ascii="宋体" w:hAnsi="宋体" w:eastAsia="宋体"/>
          <w:color w:val="auto"/>
          <w:szCs w:val="21"/>
        </w:rPr>
        <w:t>无错误操作次数达到规定次数的85%-94%之间，操作较熟练，偶有小失误但不影响整体效果。</w:t>
      </w:r>
      <w:r>
        <w:rPr>
          <w:rFonts w:ascii="宋体" w:hAnsi="宋体" w:eastAsia="宋体"/>
          <w:color w:val="auto"/>
          <w:szCs w:val="21"/>
        </w:rPr>
        <w:t>在学生互评环节中，工具实操能力获得较高分数，这一结果具有多重积极意义。团队成员给予的高分评价，直接印证了该生在专业实务能力方面获得的广泛认可。在模拟交易环境中，他能够娴熟地运用多种分析工具与交易平台，其规范的操作流程与高效的执行能力得到了团队成员的一致肯定。尤为重要的是，优异的互评成绩反映出团队内部已形成良好的协作生态</w:t>
      </w:r>
      <w:r>
        <w:rPr>
          <w:rFonts w:hint="eastAsia" w:ascii="宋体" w:hAnsi="宋体" w:eastAsia="宋体"/>
          <w:color w:val="auto"/>
          <w:szCs w:val="21"/>
        </w:rPr>
        <w:t>，即</w:t>
      </w:r>
      <w:r>
        <w:rPr>
          <w:rFonts w:ascii="宋体" w:hAnsi="宋体" w:eastAsia="宋体"/>
          <w:color w:val="auto"/>
          <w:szCs w:val="21"/>
        </w:rPr>
        <w:t>当所有成员均能熟练掌握各自领域的工具操作技能时，团队的整体决策与执行环节便能够实现顺畅衔接。这种基于技术能力建立的默契，为团队的高效协作提供了重要保障。</w:t>
      </w:r>
    </w:p>
    <w:p w14:paraId="34BA96B7">
      <w:pPr>
        <w:ind w:firstLine="420"/>
        <w:rPr>
          <w:rFonts w:hint="eastAsia" w:ascii="宋体" w:hAnsi="宋体" w:eastAsia="宋体"/>
          <w:color w:val="auto"/>
          <w:szCs w:val="21"/>
        </w:rPr>
      </w:pPr>
      <w:r>
        <w:rPr>
          <w:rFonts w:hint="eastAsia" w:ascii="宋体" w:hAnsi="宋体" w:eastAsia="宋体"/>
          <w:color w:val="auto"/>
          <w:szCs w:val="21"/>
        </w:rPr>
        <w:t>调整优化能力</w:t>
      </w:r>
    </w:p>
    <w:p w14:paraId="7534ABE4">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03707261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B339A0">
      <w:pPr>
        <w:ind w:firstLine="420"/>
        <w:rPr>
          <w:rFonts w:hint="eastAsia" w:ascii="宋体" w:hAnsi="宋体" w:eastAsia="宋体"/>
          <w:color w:val="auto"/>
          <w:szCs w:val="21"/>
        </w:rPr>
      </w:pPr>
      <w:r>
        <w:rPr>
          <w:rFonts w:ascii="宋体" w:hAnsi="宋体" w:eastAsia="宋体"/>
          <w:color w:val="auto"/>
          <w:szCs w:val="21"/>
        </w:rPr>
        <w:t>调整优化能力学校评</w:t>
      </w:r>
      <w:r>
        <w:rPr>
          <w:rFonts w:hint="eastAsia" w:ascii="宋体" w:hAnsi="宋体" w:eastAsia="宋体"/>
          <w:color w:val="auto"/>
          <w:szCs w:val="21"/>
        </w:rPr>
        <w:t>58</w:t>
      </w:r>
      <w:r>
        <w:rPr>
          <w:rFonts w:ascii="宋体" w:hAnsi="宋体" w:eastAsia="宋体"/>
          <w:color w:val="auto"/>
          <w:szCs w:val="21"/>
        </w:rPr>
        <w:t>分、学生自评</w:t>
      </w:r>
      <w:r>
        <w:rPr>
          <w:rFonts w:hint="eastAsia" w:ascii="宋体" w:hAnsi="宋体" w:eastAsia="宋体"/>
          <w:color w:val="auto"/>
          <w:szCs w:val="21"/>
        </w:rPr>
        <w:t>73</w:t>
      </w:r>
      <w:r>
        <w:rPr>
          <w:rFonts w:ascii="宋体" w:hAnsi="宋体" w:eastAsia="宋体"/>
          <w:color w:val="auto"/>
          <w:szCs w:val="21"/>
        </w:rPr>
        <w:t>分、学生互评</w:t>
      </w:r>
      <w:r>
        <w:rPr>
          <w:rFonts w:hint="eastAsia" w:ascii="宋体" w:hAnsi="宋体" w:eastAsia="宋体"/>
          <w:color w:val="auto"/>
          <w:szCs w:val="21"/>
        </w:rPr>
        <w:t>77</w:t>
      </w:r>
      <w:r>
        <w:rPr>
          <w:rFonts w:ascii="宋体" w:hAnsi="宋体" w:eastAsia="宋体"/>
          <w:color w:val="auto"/>
          <w:szCs w:val="21"/>
        </w:rPr>
        <w:t>分。学校认为</w:t>
      </w:r>
      <w:r>
        <w:rPr>
          <w:rFonts w:hint="eastAsia" w:ascii="宋体" w:hAnsi="宋体" w:eastAsia="宋体"/>
          <w:color w:val="auto"/>
          <w:szCs w:val="21"/>
        </w:rPr>
        <w:t>目标达成率低于65%，产品优化次数很少，对项目几乎无改进作用。</w:t>
      </w:r>
      <w:r>
        <w:rPr>
          <w:rFonts w:ascii="宋体" w:hAnsi="宋体" w:eastAsia="宋体"/>
          <w:color w:val="auto"/>
          <w:szCs w:val="21"/>
        </w:rPr>
        <w:t>学生自评</w:t>
      </w:r>
      <w:r>
        <w:rPr>
          <w:rFonts w:hint="eastAsia" w:ascii="宋体" w:hAnsi="宋体" w:eastAsia="宋体"/>
          <w:color w:val="auto"/>
          <w:szCs w:val="21"/>
        </w:rPr>
        <w:t>主动性一般，能完成基本的调整优化任务，效果一般，对项目的推动作用有限；</w:t>
      </w:r>
      <w:r>
        <w:rPr>
          <w:rFonts w:ascii="宋体" w:hAnsi="宋体" w:eastAsia="宋体"/>
          <w:color w:val="auto"/>
          <w:szCs w:val="21"/>
        </w:rPr>
        <w:t>学生互评觉得</w:t>
      </w:r>
      <w:r>
        <w:rPr>
          <w:rFonts w:hint="eastAsia" w:ascii="宋体" w:hAnsi="宋体" w:eastAsia="宋体"/>
          <w:color w:val="auto"/>
          <w:szCs w:val="21"/>
        </w:rPr>
        <w:t>调整优化创新性不足，但方案基本合理，能对项目进行一般性的改进，大家评价尚可。</w:t>
      </w:r>
      <w:r>
        <w:rPr>
          <w:rFonts w:ascii="宋体" w:hAnsi="宋体" w:eastAsia="宋体"/>
          <w:color w:val="auto"/>
          <w:szCs w:val="21"/>
        </w:rPr>
        <w:t>在调整优化方面，该生展现出层次分明的卓越能力：其执行环节高效可靠，能够将优化方案扎实推进并确保每个改进步骤落到实处；在创新层面，他常能跳出常规思路提出富有前瞻性的独到见解，所制定的差异化策略精准契合问题本质，有效提升了项目的实施质量与整体成效。这种将扎实的执行力与活跃的创新思维有机融合的特点，使他的优化工作兼具稳健性与创造性。</w:t>
      </w:r>
    </w:p>
    <w:p w14:paraId="76B662E6">
      <w:pPr>
        <w:ind w:firstLine="420"/>
        <w:rPr>
          <w:rFonts w:hint="eastAsia" w:ascii="宋体" w:hAnsi="宋体" w:eastAsia="宋体"/>
          <w:color w:val="auto"/>
          <w:szCs w:val="21"/>
        </w:rPr>
      </w:pPr>
      <w:r>
        <w:rPr>
          <w:rFonts w:hint="eastAsia" w:ascii="宋体" w:hAnsi="宋体" w:eastAsia="宋体"/>
          <w:color w:val="auto"/>
          <w:szCs w:val="21"/>
        </w:rPr>
        <w:t>提升建议：</w:t>
      </w:r>
    </w:p>
    <w:p w14:paraId="7AFAE4C2">
      <w:pPr>
        <w:ind w:firstLine="420"/>
        <w:rPr>
          <w:rFonts w:hint="eastAsia" w:ascii="宋体" w:hAnsi="宋体" w:eastAsia="宋体"/>
          <w:color w:val="auto"/>
          <w:szCs w:val="21"/>
        </w:rPr>
      </w:pPr>
      <w:r>
        <w:rPr>
          <w:rFonts w:hint="eastAsia" w:ascii="宋体" w:hAnsi="宋体" w:eastAsia="宋体"/>
          <w:color w:val="auto"/>
          <w:szCs w:val="21"/>
        </w:rPr>
        <w:t>该生期货交易能力的提升需采取"认知重塑、实战强化、体系构建"三位一体的培养策略。首要任务是弥合认知差距，强化市场对接。其数据分析能力的企业评分与自我评价存在显著落差，反映出理论认知与市场实际的严重脱节。建议建立"日常交易日志+周期复盘+导师会诊"的反馈机制，通过对比真实行情与自身决策逻辑，精准定位认知偏差。可引入实盘案例分析，重点训练在信息不完备条件下的快速决策能力，培养以市场为导向的分析思维。</w:t>
      </w:r>
    </w:p>
    <w:p w14:paraId="19F9FA97">
      <w:pPr>
        <w:ind w:firstLine="420"/>
        <w:rPr>
          <w:rFonts w:hint="eastAsia" w:ascii="宋体" w:hAnsi="宋体" w:eastAsia="宋体"/>
          <w:color w:val="auto"/>
          <w:szCs w:val="21"/>
        </w:rPr>
      </w:pPr>
      <w:r>
        <w:rPr>
          <w:rFonts w:hint="eastAsia" w:ascii="宋体" w:hAnsi="宋体" w:eastAsia="宋体"/>
          <w:color w:val="auto"/>
          <w:szCs w:val="21"/>
        </w:rPr>
        <w:t>核心突破口在于夯实操作基础与动态策略能力。系统操作能力薄弱已直接影响交易执行效率，需开展模块化专项训练，重点突破多订单处理、快速参数调整等核心场景。同时应提升策略的适应性：通过模拟不同市场行情（单边趋势、震荡整理等），训练其根据市场特征动态调整仓位管理和风险控制策略的能力，打破僵化的执行模式。</w:t>
      </w:r>
    </w:p>
    <w:p w14:paraId="036537CE">
      <w:pPr>
        <w:ind w:firstLine="420"/>
        <w:rPr>
          <w:rFonts w:hint="eastAsia" w:ascii="宋体" w:hAnsi="宋体" w:eastAsia="宋体"/>
          <w:color w:val="auto"/>
          <w:szCs w:val="21"/>
        </w:rPr>
      </w:pPr>
      <w:r>
        <w:rPr>
          <w:rFonts w:hint="eastAsia" w:ascii="宋体" w:hAnsi="宋体" w:eastAsia="宋体"/>
          <w:color w:val="auto"/>
          <w:szCs w:val="21"/>
        </w:rPr>
        <w:t>关键在于构建持续进化的交易体系。建议将其优势领域（如风险控制）的方法论迁移至短板环节，例如将风控的严谨性应用于策略优化流程。通过参与高仿真交易环境，在真实压力下检验其知识体系的完整性，特别关注在连续波动中的情绪稳定性与策略执行力。最终要将实战反馈转化为内在改进动力，建立"计划-执行-复盘-优化"的良性循环，实现从知识积累到实战能力的质的飞跃。这一过程需要保持耐心，通过持续训练将规范操作转化为肌肉记忆，将市场认知内化为交易直觉，从而真正具备应对复杂市场的能力。</w:t>
      </w:r>
      <w:bookmarkStart w:id="0" w:name="_GoBack"/>
      <w:bookmarkEnd w:id="0"/>
    </w:p>
    <w:p w14:paraId="5D1A8751">
      <w:pPr>
        <w:rPr>
          <w:rFonts w:hint="eastAsia" w:ascii="宋体" w:hAnsi="宋体" w:eastAsia="宋体"/>
          <w:color w:val="auto"/>
          <w:szCs w:val="21"/>
        </w:rPr>
      </w:pPr>
    </w:p>
    <w:p w14:paraId="1D464C88">
      <w:pPr>
        <w:rPr>
          <w:rFonts w:hint="eastAsia" w:ascii="宋体" w:hAnsi="宋体" w:eastAsia="宋体"/>
          <w:color w:val="auto"/>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677"/>
    <w:rsid w:val="00004E18"/>
    <w:rsid w:val="001158E8"/>
    <w:rsid w:val="001B4C23"/>
    <w:rsid w:val="003861F7"/>
    <w:rsid w:val="00427BAB"/>
    <w:rsid w:val="004A24BA"/>
    <w:rsid w:val="005F19AA"/>
    <w:rsid w:val="0064531A"/>
    <w:rsid w:val="00790934"/>
    <w:rsid w:val="00816E86"/>
    <w:rsid w:val="009574C4"/>
    <w:rsid w:val="0096146D"/>
    <w:rsid w:val="00964AF6"/>
    <w:rsid w:val="00AA5A5A"/>
    <w:rsid w:val="00AF16F7"/>
    <w:rsid w:val="00BE04A0"/>
    <w:rsid w:val="00BE4ABB"/>
    <w:rsid w:val="00C5212E"/>
    <w:rsid w:val="00E538E1"/>
    <w:rsid w:val="00F27677"/>
    <w:rsid w:val="00F458C5"/>
    <w:rsid w:val="520D1E14"/>
    <w:rsid w:val="65AD6E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61</c:v>
                </c:pt>
                <c:pt idx="1">
                  <c:v>82</c:v>
                </c:pt>
                <c:pt idx="2">
                  <c:v>83</c:v>
                </c:pt>
                <c:pt idx="3">
                  <c:v>56</c:v>
                </c:pt>
                <c:pt idx="4">
                  <c:v>81</c:v>
                </c:pt>
                <c:pt idx="5">
                  <c:v>58</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48</c:v>
                </c:pt>
                <c:pt idx="3">
                  <c:v>88</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73</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75</c:v>
                </c:pt>
                <c:pt idx="4">
                  <c:v>90</c:v>
                </c:pt>
                <c:pt idx="5">
                  <c:v>77</c:v>
                </c:pt>
              </c:numCache>
            </c:numRef>
          </c:val>
        </c:ser>
        <c:dLbls>
          <c:showLegendKey val="0"/>
          <c:showVal val="1"/>
          <c:showCatName val="0"/>
          <c:showSerName val="0"/>
          <c:showPercent val="0"/>
          <c:showBubbleSize val="0"/>
        </c:dLbls>
        <c:gapWidth val="246"/>
        <c:overlap val="-28"/>
        <c:axId val="497597695"/>
        <c:axId val="931620607"/>
      </c:barChart>
      <c:catAx>
        <c:axId val="49759769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1620607"/>
        <c:crosses val="autoZero"/>
        <c:auto val="1"/>
        <c:lblAlgn val="ctr"/>
        <c:lblOffset val="100"/>
        <c:noMultiLvlLbl val="0"/>
      </c:catAx>
      <c:valAx>
        <c:axId val="93162060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759769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e97519d-f203-4b36-abad-43c74c211e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82</c:v>
                </c:pt>
                <c:pt idx="1">
                  <c:v>48</c:v>
                </c:pt>
              </c:numCache>
            </c:numRef>
          </c:val>
        </c:ser>
        <c:dLbls>
          <c:showLegendKey val="0"/>
          <c:showVal val="0"/>
          <c:showCatName val="0"/>
          <c:showSerName val="0"/>
          <c:showPercent val="0"/>
          <c:showBubbleSize val="0"/>
        </c:dLbls>
        <c:gapWidth val="246"/>
        <c:overlap val="-28"/>
        <c:axId val="826187314"/>
        <c:axId val="731846648"/>
      </c:barChart>
      <c:catAx>
        <c:axId val="82618731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1846648"/>
        <c:crosses val="autoZero"/>
        <c:auto val="1"/>
        <c:lblAlgn val="ctr"/>
        <c:lblOffset val="100"/>
        <c:noMultiLvlLbl val="0"/>
      </c:catAx>
      <c:valAx>
        <c:axId val="73184664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618731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47a3999-bd9e-4ef1-83a1-08c8fbe4bd9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56</c:v>
                </c:pt>
                <c:pt idx="1">
                  <c:v>88</c:v>
                </c:pt>
                <c:pt idx="2">
                  <c:v>75</c:v>
                </c:pt>
              </c:numCache>
            </c:numRef>
          </c:val>
        </c:ser>
        <c:dLbls>
          <c:showLegendKey val="0"/>
          <c:showVal val="0"/>
          <c:showCatName val="0"/>
          <c:showSerName val="0"/>
          <c:showPercent val="0"/>
          <c:showBubbleSize val="0"/>
        </c:dLbls>
        <c:gapWidth val="246"/>
        <c:overlap val="-28"/>
        <c:axId val="844964067"/>
        <c:axId val="817411288"/>
      </c:barChart>
      <c:catAx>
        <c:axId val="84496406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411288"/>
        <c:crosses val="autoZero"/>
        <c:auto val="1"/>
        <c:lblAlgn val="ctr"/>
        <c:lblOffset val="100"/>
        <c:noMultiLvlLbl val="0"/>
      </c:catAx>
      <c:valAx>
        <c:axId val="81741128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4496406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d97e22d-1ffb-4a94-9aa0-598031edf8a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81</c:v>
                </c:pt>
                <c:pt idx="1">
                  <c:v>90</c:v>
                </c:pt>
              </c:numCache>
            </c:numRef>
          </c:val>
        </c:ser>
        <c:dLbls>
          <c:showLegendKey val="0"/>
          <c:showVal val="0"/>
          <c:showCatName val="0"/>
          <c:showSerName val="0"/>
          <c:showPercent val="0"/>
          <c:showBubbleSize val="0"/>
        </c:dLbls>
        <c:gapWidth val="246"/>
        <c:overlap val="-28"/>
        <c:axId val="941628471"/>
        <c:axId val="377510709"/>
      </c:barChart>
      <c:catAx>
        <c:axId val="94162847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7510709"/>
        <c:crosses val="autoZero"/>
        <c:auto val="1"/>
        <c:lblAlgn val="ctr"/>
        <c:lblOffset val="100"/>
        <c:noMultiLvlLbl val="0"/>
      </c:catAx>
      <c:valAx>
        <c:axId val="37751070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4162847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d6fb833-6ce1-4d0b-9573-0cf9057f8e9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58</c:v>
                </c:pt>
                <c:pt idx="1">
                  <c:v>73</c:v>
                </c:pt>
                <c:pt idx="2">
                  <c:v>77</c:v>
                </c:pt>
              </c:numCache>
            </c:numRef>
          </c:val>
        </c:ser>
        <c:dLbls>
          <c:showLegendKey val="0"/>
          <c:showVal val="0"/>
          <c:showCatName val="0"/>
          <c:showSerName val="0"/>
          <c:showPercent val="0"/>
          <c:showBubbleSize val="0"/>
        </c:dLbls>
        <c:gapWidth val="246"/>
        <c:overlap val="-28"/>
        <c:axId val="58831079"/>
        <c:axId val="483220362"/>
      </c:barChart>
      <c:catAx>
        <c:axId val="5883107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3220362"/>
        <c:crosses val="autoZero"/>
        <c:auto val="1"/>
        <c:lblAlgn val="ctr"/>
        <c:lblOffset val="100"/>
        <c:noMultiLvlLbl val="0"/>
      </c:catAx>
      <c:valAx>
        <c:axId val="48322036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83107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f71734b-9706-4736-9cd6-48ce38ab94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2885</Words>
  <Characters>2943</Characters>
  <Lines>73</Lines>
  <Paragraphs>52</Paragraphs>
  <TotalTime>39</TotalTime>
  <ScaleCrop>false</ScaleCrop>
  <LinksUpToDate>false</LinksUpToDate>
  <CharactersWithSpaces>2943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2025-09-27T12:07:00Z</dcterms:created>
  <dc:creator>庆敏 侯</dc:creator>
  <cp:lastModifiedBy>Sternstunde</cp:lastModifiedBy>
  <dcterms:modified xsi:type="dcterms:W3CDTF">2025-09-29T12:31:19Z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2E4127AB4B524A108E2B1FE04F752E12_13</vt:lpwstr>
  </property>
</Properties>
</file>