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B6EF87">
      <w:pPr>
        <w:jc w:val="center"/>
        <w:rPr>
          <w:rFonts w:hint="eastAsia" w:ascii="宋体" w:hAnsi="宋体" w:eastAsia="宋体"/>
          <w:szCs w:val="21"/>
        </w:rPr>
      </w:pPr>
      <w:r>
        <w:rPr>
          <w:rFonts w:hint="eastAsia" w:ascii="宋体" w:hAnsi="宋体" w:eastAsia="宋体"/>
          <w:szCs w:val="21"/>
        </w:rPr>
        <w:t>期货模拟交易大赛实战--能力分析报告</w:t>
      </w:r>
    </w:p>
    <w:p w14:paraId="111004A8">
      <w:pPr>
        <w:rPr>
          <w:rFonts w:hint="eastAsia" w:ascii="宋体" w:hAnsi="宋体" w:eastAsia="宋体"/>
          <w:szCs w:val="21"/>
          <w:lang w:eastAsia="zh-CN"/>
        </w:rPr>
      </w:pPr>
      <w:r>
        <w:rPr>
          <w:rFonts w:hint="eastAsia" w:ascii="宋体" w:hAnsi="宋体" w:eastAsia="宋体"/>
          <w:szCs w:val="21"/>
        </w:rPr>
        <w:t>学号：233061301134</w:t>
      </w:r>
    </w:p>
    <w:p w14:paraId="2E8F6930">
      <w:pPr>
        <w:rPr>
          <w:rFonts w:hint="eastAsia" w:ascii="宋体" w:hAnsi="宋体" w:eastAsia="宋体"/>
          <w:szCs w:val="21"/>
        </w:rPr>
      </w:pPr>
      <w:r>
        <w:rPr>
          <w:rFonts w:hint="eastAsia" w:ascii="宋体" w:hAnsi="宋体" w:eastAsia="宋体"/>
          <w:szCs w:val="21"/>
        </w:rPr>
        <w:t>姓名：王婉婷</w:t>
      </w:r>
    </w:p>
    <w:p w14:paraId="4EC32D34">
      <w:pPr>
        <w:rPr>
          <w:rFonts w:hint="eastAsia" w:ascii="宋体" w:hAnsi="宋体" w:eastAsia="宋体"/>
          <w:szCs w:val="21"/>
        </w:rPr>
      </w:pPr>
      <w:r>
        <w:rPr>
          <w:rFonts w:hint="eastAsia" w:ascii="宋体" w:hAnsi="宋体" w:eastAsia="宋体"/>
          <w:szCs w:val="21"/>
        </w:rPr>
        <w:t>总分：77（详见项目评分标准）</w:t>
      </w:r>
    </w:p>
    <w:p w14:paraId="30AA0AC5">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765982707"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066BEA1B">
      <w:pPr>
        <w:rPr>
          <w:rFonts w:hint="eastAsia" w:ascii="宋体" w:hAnsi="宋体" w:eastAsia="宋体"/>
          <w:szCs w:val="21"/>
        </w:rPr>
      </w:pPr>
      <w:r>
        <w:rPr>
          <w:rFonts w:hint="eastAsia" w:ascii="宋体" w:hAnsi="宋体" w:eastAsia="宋体"/>
          <w:szCs w:val="21"/>
        </w:rPr>
        <w:t>从整体来看：</w:t>
      </w:r>
    </w:p>
    <w:p w14:paraId="42EB7832">
      <w:pPr>
        <w:rPr>
          <w:rFonts w:hint="eastAsia" w:ascii="宋体" w:hAnsi="宋体" w:eastAsia="宋体"/>
          <w:szCs w:val="21"/>
        </w:rPr>
      </w:pPr>
      <w:r>
        <w:rPr>
          <w:rFonts w:ascii="宋体" w:hAnsi="宋体" w:eastAsia="宋体"/>
          <w:szCs w:val="21"/>
        </w:rPr>
        <w:t>优势</w:t>
      </w:r>
      <w:r>
        <w:rPr>
          <w:rFonts w:ascii="宋体" w:hAnsi="宋体" w:eastAsia="宋体"/>
          <w:szCs w:val="21"/>
        </w:rPr>
        <w:br w:type="textWrapping"/>
      </w:r>
      <w:r>
        <w:rPr>
          <w:rFonts w:ascii="宋体" w:hAnsi="宋体" w:eastAsia="宋体"/>
          <w:szCs w:val="21"/>
        </w:rPr>
        <w:t>该生在期货模拟交易中展现出扎实的策略构建与工具应用潜力。在方案定制方面，其自评与互评均远高于外部评分，显示出强烈的自信与团队认可，尤其在策略框架的完整性和逻辑性上表现突出。工具实操能力获得学校高分评价，说明其对交易平台的基础功能掌握熟练，能有效支撑日常交易执行。此外，风险控制意识较强，能保持稳定的风控纪律，体现出良好的合规意识和稳健的操作风格。这些特质共同构成其应对模拟交易环境的坚实基础。</w:t>
      </w:r>
    </w:p>
    <w:p w14:paraId="5E6EE06B">
      <w:pPr>
        <w:rPr>
          <w:rFonts w:hint="eastAsia" w:ascii="宋体" w:hAnsi="宋体" w:eastAsia="宋体"/>
          <w:szCs w:val="21"/>
        </w:rPr>
      </w:pPr>
      <w:r>
        <w:rPr>
          <w:rFonts w:ascii="宋体" w:hAnsi="宋体" w:eastAsia="宋体"/>
          <w:szCs w:val="21"/>
        </w:rPr>
        <w:t>短板</w:t>
      </w:r>
      <w:r>
        <w:rPr>
          <w:rFonts w:ascii="宋体" w:hAnsi="宋体" w:eastAsia="宋体"/>
          <w:szCs w:val="21"/>
        </w:rPr>
        <w:br w:type="textWrapping"/>
      </w:r>
      <w:r>
        <w:rPr>
          <w:rFonts w:ascii="宋体" w:hAnsi="宋体" w:eastAsia="宋体"/>
          <w:szCs w:val="21"/>
        </w:rPr>
        <w:t>然而，该生在实际应用与市场衔接方面存在明显脱节。系统操作能力薄弱，成为制约其交易效率的关键瓶颈，反映出对复杂操作流程或高频场景的适应不足。数据分析的企业评分与学校评价反差显著，表明其分析方法虽具理论框架，却难以转化为符合市场真实需求的决策依据。调整优化能力的自评与互评均偏低，进一步揭示其在动态市场中灵活调整策略的主动性不足，容易陷入机械执行而缺乏迭代意识。若不能有效弥补这些实操与应变短板，将难以支撑其从模拟环境向真实交易的过渡。</w:t>
      </w:r>
    </w:p>
    <w:p w14:paraId="74A12CDF">
      <w:pPr>
        <w:rPr>
          <w:rFonts w:hint="eastAsia" w:ascii="宋体" w:hAnsi="宋体" w:eastAsia="宋体"/>
          <w:szCs w:val="21"/>
        </w:rPr>
      </w:pPr>
    </w:p>
    <w:p w14:paraId="28EEDBC6">
      <w:pPr>
        <w:rPr>
          <w:rFonts w:hint="eastAsia" w:ascii="宋体" w:hAnsi="宋体" w:eastAsia="宋体"/>
          <w:szCs w:val="21"/>
        </w:rPr>
      </w:pPr>
      <w:r>
        <w:rPr>
          <w:rFonts w:hint="eastAsia" w:ascii="宋体" w:hAnsi="宋体" w:eastAsia="宋体"/>
          <w:szCs w:val="21"/>
        </w:rPr>
        <w:t>具体来看：</w:t>
      </w:r>
    </w:p>
    <w:p w14:paraId="6E71FE96">
      <w:pPr>
        <w:rPr>
          <w:rFonts w:hint="eastAsia" w:ascii="宋体" w:hAnsi="宋体" w:eastAsia="宋体"/>
          <w:szCs w:val="21"/>
        </w:rPr>
      </w:pPr>
      <w:r>
        <w:rPr>
          <w:rFonts w:hint="eastAsia" w:ascii="宋体" w:hAnsi="宋体" w:eastAsia="宋体"/>
          <w:szCs w:val="21"/>
        </w:rPr>
        <w:t>系统操作能力</w:t>
      </w:r>
    </w:p>
    <w:p w14:paraId="26373A2A">
      <w:pPr>
        <w:ind w:firstLine="420"/>
        <w:rPr>
          <w:rFonts w:hint="eastAsia" w:ascii="宋体" w:hAnsi="宋体" w:eastAsia="宋体"/>
          <w:szCs w:val="21"/>
        </w:rPr>
      </w:pPr>
      <w:r>
        <w:rPr>
          <w:rFonts w:ascii="宋体" w:hAnsi="宋体" w:eastAsia="宋体"/>
          <w:szCs w:val="21"/>
        </w:rPr>
        <w:t>在系统操作能力上，学校给出了</w:t>
      </w:r>
      <w:r>
        <w:rPr>
          <w:rFonts w:hint="eastAsia" w:ascii="宋体" w:hAnsi="宋体" w:eastAsia="宋体"/>
          <w:szCs w:val="21"/>
        </w:rPr>
        <w:t>52</w:t>
      </w:r>
      <w:r>
        <w:rPr>
          <w:rFonts w:ascii="宋体" w:hAnsi="宋体" w:eastAsia="宋体"/>
          <w:szCs w:val="21"/>
        </w:rPr>
        <w:t>分的评价。这意味着学生</w:t>
      </w:r>
      <w:r>
        <w:rPr>
          <w:rFonts w:hint="eastAsia" w:ascii="宋体" w:hAnsi="宋体" w:eastAsia="宋体"/>
          <w:szCs w:val="21"/>
        </w:rPr>
        <w:t>无法按时完成操作任务，正确率低于65%，操作生疏，频繁出现错误，严重影响任务进展。</w:t>
      </w:r>
    </w:p>
    <w:p w14:paraId="1D4CDD11">
      <w:pPr>
        <w:ind w:firstLine="420"/>
        <w:rPr>
          <w:rFonts w:hint="eastAsia" w:ascii="宋体" w:hAnsi="宋体" w:eastAsia="宋体"/>
          <w:szCs w:val="21"/>
        </w:rPr>
      </w:pPr>
      <w:r>
        <w:rPr>
          <w:rFonts w:ascii="宋体" w:hAnsi="宋体" w:eastAsia="宋体"/>
          <w:szCs w:val="21"/>
        </w:rPr>
        <w:t>由此可见，学生对期货模拟交易平台的基本操作掌握</w:t>
      </w:r>
      <w:r>
        <w:rPr>
          <w:rFonts w:hint="eastAsia" w:ascii="宋体" w:hAnsi="宋体" w:eastAsia="宋体"/>
          <w:szCs w:val="21"/>
        </w:rPr>
        <w:t>情况并不理想</w:t>
      </w:r>
      <w:r>
        <w:rPr>
          <w:rFonts w:ascii="宋体" w:hAnsi="宋体" w:eastAsia="宋体"/>
          <w:szCs w:val="21"/>
        </w:rPr>
        <w:t>。由此可见，其在系统操作的流畅性与功能应用的深度上存在明显提升空间。具体而言，一是执行复杂流程时的精准度不足，影响业务效率；二是面对突发状况的应急处置能力较弱，暴露出操作熟练度和应变经验的欠缺，影响了操作的稳定性与可靠性。</w:t>
      </w:r>
    </w:p>
    <w:p w14:paraId="28C98F2C">
      <w:pPr>
        <w:rPr>
          <w:rFonts w:hint="eastAsia" w:ascii="宋体" w:hAnsi="宋体" w:eastAsia="宋体"/>
          <w:szCs w:val="21"/>
        </w:rPr>
      </w:pPr>
    </w:p>
    <w:p w14:paraId="57865516">
      <w:pPr>
        <w:rPr>
          <w:rFonts w:hint="eastAsia" w:ascii="宋体" w:hAnsi="宋体" w:eastAsia="宋体"/>
          <w:szCs w:val="21"/>
        </w:rPr>
      </w:pPr>
      <w:r>
        <w:rPr>
          <w:rFonts w:hint="eastAsia" w:ascii="宋体" w:hAnsi="宋体" w:eastAsia="宋体"/>
          <w:szCs w:val="21"/>
        </w:rPr>
        <w:t>数据分析能力</w:t>
      </w:r>
    </w:p>
    <w:p w14:paraId="577B1F7B">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977559524"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53E14124">
      <w:pPr>
        <w:ind w:firstLine="420"/>
        <w:rPr>
          <w:rFonts w:hint="eastAsia" w:ascii="宋体" w:hAnsi="宋体" w:eastAsia="宋体"/>
          <w:szCs w:val="21"/>
        </w:rPr>
      </w:pPr>
      <w:r>
        <w:rPr>
          <w:rFonts w:hint="eastAsia" w:ascii="宋体" w:hAnsi="宋体" w:eastAsia="宋体"/>
          <w:szCs w:val="21"/>
        </w:rPr>
        <w:t>数据分析能力学校给出70分，企业给出91分。</w:t>
      </w:r>
      <w:r>
        <w:rPr>
          <w:rFonts w:ascii="宋体" w:hAnsi="宋体" w:eastAsia="宋体"/>
          <w:szCs w:val="21"/>
        </w:rPr>
        <w:t>学校方面认为，学生所提交的</w:t>
      </w:r>
      <w:r>
        <w:rPr>
          <w:rFonts w:hint="eastAsia" w:ascii="宋体" w:hAnsi="宋体" w:eastAsia="宋体"/>
          <w:szCs w:val="21"/>
        </w:rPr>
        <w:t>报告分析方法基本合理，对数据的分析一般，结论基本可靠，能呈现数据的基本情况</w:t>
      </w:r>
      <w:r>
        <w:rPr>
          <w:rFonts w:ascii="宋体" w:hAnsi="宋体" w:eastAsia="宋体"/>
          <w:szCs w:val="21"/>
        </w:rPr>
        <w:t>；而企业方则指出，该</w:t>
      </w:r>
      <w:r>
        <w:rPr>
          <w:rFonts w:hint="eastAsia" w:ascii="宋体" w:hAnsi="宋体" w:eastAsia="宋体"/>
          <w:szCs w:val="21"/>
        </w:rPr>
        <w:t>数据分析结果对企业实际业务有重大指导价值，能帮助企业优化业务流程、提高效益、开拓市场等，得到企业的高度认可。</w:t>
      </w:r>
      <w:r>
        <w:rPr>
          <w:rFonts w:ascii="宋体" w:hAnsi="宋体" w:eastAsia="宋体"/>
          <w:szCs w:val="21"/>
        </w:rPr>
        <w:t>然而，其在分析的深度与创新性方面尚有不足，未能充分展现独特的洞察力与前瞻性。未来需着力深化逻辑推演与跨界联想能力，以提供更具差异化价值和定制化的解决方案。</w:t>
      </w:r>
    </w:p>
    <w:p w14:paraId="038CD879">
      <w:pPr>
        <w:rPr>
          <w:rFonts w:hint="eastAsia" w:ascii="宋体" w:hAnsi="宋体" w:eastAsia="宋体"/>
          <w:szCs w:val="21"/>
        </w:rPr>
      </w:pPr>
      <w:r>
        <w:rPr>
          <w:rFonts w:hint="eastAsia" w:ascii="宋体" w:hAnsi="宋体" w:eastAsia="宋体"/>
          <w:szCs w:val="21"/>
        </w:rPr>
        <w:t>风险控制能力</w:t>
      </w:r>
    </w:p>
    <w:p w14:paraId="4D595DFE">
      <w:pPr>
        <w:ind w:firstLine="420"/>
        <w:rPr>
          <w:rFonts w:hint="eastAsia" w:ascii="宋体" w:hAnsi="宋体" w:eastAsia="宋体"/>
          <w:szCs w:val="21"/>
        </w:rPr>
      </w:pPr>
      <w:r>
        <w:rPr>
          <w:rFonts w:ascii="宋体" w:hAnsi="宋体" w:eastAsia="宋体"/>
          <w:szCs w:val="21"/>
        </w:rPr>
        <w:t>风险控制能力学校评分为</w:t>
      </w:r>
      <w:r>
        <w:rPr>
          <w:rFonts w:hint="eastAsia" w:ascii="宋体" w:hAnsi="宋体" w:eastAsia="宋体"/>
          <w:szCs w:val="21"/>
        </w:rPr>
        <w:t>79</w:t>
      </w:r>
      <w:r>
        <w:rPr>
          <w:rFonts w:ascii="宋体" w:hAnsi="宋体" w:eastAsia="宋体"/>
          <w:szCs w:val="21"/>
        </w:rPr>
        <w:t>分，说明学生</w:t>
      </w:r>
      <w:r>
        <w:rPr>
          <w:rFonts w:hint="eastAsia" w:ascii="宋体" w:hAnsi="宋体" w:eastAsia="宋体"/>
          <w:szCs w:val="21"/>
        </w:rPr>
        <w:t>能在一定时间内采取控制措施，及时率和准确率均在75%-84%之间，能对风险进行一定程度的控制</w:t>
      </w:r>
      <w:r>
        <w:rPr>
          <w:rFonts w:ascii="宋体" w:hAnsi="宋体" w:eastAsia="宋体"/>
          <w:szCs w:val="21"/>
        </w:rPr>
        <w:t>。学生已建立起制度化的风险反应机制，并在实战中验证了其有效性。当前的挑战在于将基础控制升华为策略优势，重点是通过强化对复杂风险模型的认知与模拟训练，优化应对流程，以提升在突发情况下的响应效率与操作准确性，从而为交易策略提供更大的容错空间和稳定性。</w:t>
      </w:r>
    </w:p>
    <w:p w14:paraId="7877B069">
      <w:pPr>
        <w:rPr>
          <w:rFonts w:hint="eastAsia" w:ascii="宋体" w:hAnsi="宋体" w:eastAsia="宋体"/>
          <w:szCs w:val="21"/>
        </w:rPr>
      </w:pPr>
      <w:r>
        <w:rPr>
          <w:rFonts w:hint="eastAsia" w:ascii="宋体" w:hAnsi="宋体" w:eastAsia="宋体"/>
          <w:szCs w:val="21"/>
        </w:rPr>
        <w:t>方案定制能力</w:t>
      </w:r>
    </w:p>
    <w:p w14:paraId="22B7B5DD">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59067812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AA3DB9C">
      <w:pPr>
        <w:ind w:firstLine="420"/>
        <w:rPr>
          <w:rFonts w:hint="eastAsia" w:ascii="宋体" w:hAnsi="宋体" w:eastAsia="宋体"/>
          <w:szCs w:val="21"/>
        </w:rPr>
      </w:pPr>
      <w:r>
        <w:rPr>
          <w:rFonts w:ascii="宋体" w:hAnsi="宋体" w:eastAsia="宋体"/>
          <w:szCs w:val="21"/>
        </w:rPr>
        <w:t>方案定制能力方面，学校评分为</w:t>
      </w:r>
      <w:r>
        <w:rPr>
          <w:rFonts w:hint="eastAsia" w:ascii="宋体" w:hAnsi="宋体" w:eastAsia="宋体"/>
          <w:szCs w:val="21"/>
        </w:rPr>
        <w:t>88</w:t>
      </w:r>
      <w:r>
        <w:rPr>
          <w:rFonts w:ascii="宋体" w:hAnsi="宋体" w:eastAsia="宋体"/>
          <w:szCs w:val="21"/>
        </w:rPr>
        <w:t>分，企业评分为</w:t>
      </w:r>
      <w:r>
        <w:rPr>
          <w:rFonts w:hint="eastAsia" w:ascii="宋体" w:hAnsi="宋体" w:eastAsia="宋体"/>
          <w:szCs w:val="21"/>
        </w:rPr>
        <w:t>73</w:t>
      </w:r>
      <w:r>
        <w:rPr>
          <w:rFonts w:ascii="宋体" w:hAnsi="宋体" w:eastAsia="宋体"/>
          <w:szCs w:val="21"/>
        </w:rPr>
        <w:t>分，学生互评得分为</w:t>
      </w:r>
      <w:r>
        <w:rPr>
          <w:rFonts w:hint="eastAsia" w:ascii="宋体" w:hAnsi="宋体" w:eastAsia="宋体"/>
          <w:szCs w:val="21"/>
        </w:rPr>
        <w:t>99</w:t>
      </w:r>
      <w:r>
        <w:rPr>
          <w:rFonts w:ascii="宋体" w:hAnsi="宋体" w:eastAsia="宋体"/>
          <w:szCs w:val="21"/>
        </w:rPr>
        <w:t>分。学校方面认为</w:t>
      </w:r>
      <w:r>
        <w:rPr>
          <w:rFonts w:hint="eastAsia" w:ascii="宋体" w:hAnsi="宋体" w:eastAsia="宋体"/>
          <w:szCs w:val="21"/>
        </w:rPr>
        <w:t>方案较完整，设计方法较科学，可行性较高，能较好地满足客户的基本金融需求</w:t>
      </w:r>
      <w:r>
        <w:rPr>
          <w:rFonts w:ascii="宋体" w:hAnsi="宋体" w:eastAsia="宋体"/>
          <w:szCs w:val="21"/>
        </w:rPr>
        <w:t>；企业评价指出</w:t>
      </w:r>
      <w:r>
        <w:rPr>
          <w:rFonts w:hint="eastAsia" w:ascii="宋体" w:hAnsi="宋体" w:eastAsia="宋体"/>
          <w:szCs w:val="21"/>
        </w:rPr>
        <w:t>方案与客户反馈匹配度一般，能满足客户的部分需求，客户评价一般</w:t>
      </w:r>
      <w:r>
        <w:rPr>
          <w:rFonts w:ascii="宋体" w:hAnsi="宋体" w:eastAsia="宋体"/>
          <w:szCs w:val="21"/>
        </w:rPr>
        <w:t>；学生互评则反映</w:t>
      </w:r>
      <w:r>
        <w:rPr>
          <w:rFonts w:hint="eastAsia" w:ascii="宋体" w:hAnsi="宋体" w:eastAsia="宋体"/>
          <w:szCs w:val="21"/>
        </w:rPr>
        <w:t>方案具有很强的创新性，针对客户的特殊需求设计，实用性高，能有效解决客户的实际问题，对其他同学有很好的借鉴作用。</w:t>
      </w:r>
      <w:r>
        <w:rPr>
          <w:rFonts w:ascii="宋体" w:hAnsi="宋体" w:eastAsia="宋体"/>
          <w:szCs w:val="21"/>
        </w:rPr>
        <w:t>综合来看，学生在方案定制上展现出扎实的基本功，能够系统性地构建具备可行性的框架。但深入剖析可发现，其方案的科学论证往往不够严密，创新思维亦有局限，导致成果虽“正确”却“平庸”，未能精准切中客户的核心诉求以创造显著价值。未来提升的关键在于，将理论工具转化为解决实际问题的利器，着力锻造为客户量身定制、能创造独特价值闭环的方案设计能力。</w:t>
      </w:r>
    </w:p>
    <w:p w14:paraId="3B2CBF06">
      <w:pPr>
        <w:rPr>
          <w:rFonts w:hint="eastAsia" w:ascii="宋体" w:hAnsi="宋体" w:eastAsia="宋体"/>
          <w:szCs w:val="21"/>
        </w:rPr>
      </w:pPr>
      <w:r>
        <w:rPr>
          <w:rFonts w:hint="eastAsia" w:ascii="宋体" w:hAnsi="宋体" w:eastAsia="宋体"/>
          <w:szCs w:val="21"/>
        </w:rPr>
        <w:t>工具实操能力</w:t>
      </w:r>
    </w:p>
    <w:p w14:paraId="3EA90A5E">
      <w:pPr>
        <w:ind w:firstLine="420"/>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834739815"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5FF9309">
      <w:pPr>
        <w:ind w:firstLine="420"/>
        <w:rPr>
          <w:rFonts w:hint="eastAsia" w:ascii="宋体" w:hAnsi="宋体" w:eastAsia="宋体"/>
          <w:szCs w:val="21"/>
        </w:rPr>
      </w:pPr>
      <w:r>
        <w:rPr>
          <w:rFonts w:ascii="宋体" w:hAnsi="宋体" w:eastAsia="宋体"/>
          <w:szCs w:val="21"/>
        </w:rPr>
        <w:t>在工具实操能力方面，学校评分为</w:t>
      </w:r>
      <w:r>
        <w:rPr>
          <w:rFonts w:hint="eastAsia" w:ascii="宋体" w:hAnsi="宋体" w:eastAsia="宋体"/>
          <w:szCs w:val="21"/>
        </w:rPr>
        <w:t>90</w:t>
      </w:r>
      <w:r>
        <w:rPr>
          <w:rFonts w:ascii="宋体" w:hAnsi="宋体" w:eastAsia="宋体"/>
          <w:szCs w:val="21"/>
        </w:rPr>
        <w:t>分，学生互评则为7</w:t>
      </w:r>
      <w:r>
        <w:rPr>
          <w:rFonts w:hint="eastAsia" w:ascii="宋体" w:hAnsi="宋体" w:eastAsia="宋体"/>
          <w:szCs w:val="21"/>
        </w:rPr>
        <w:t>3</w:t>
      </w:r>
      <w:r>
        <w:rPr>
          <w:rFonts w:ascii="宋体" w:hAnsi="宋体" w:eastAsia="宋体"/>
          <w:szCs w:val="21"/>
        </w:rPr>
        <w:t>分。学校评价显示，</w:t>
      </w:r>
      <w:r>
        <w:rPr>
          <w:rFonts w:hint="eastAsia" w:ascii="宋体" w:hAnsi="宋体" w:eastAsia="宋体"/>
          <w:szCs w:val="21"/>
        </w:rPr>
        <w:t>在项目实践过程中，无错误操作次数达到规定次数的95%及以上，操作熟练精准，能灵活运用工具的各种功能，高效完成任务。</w:t>
      </w:r>
      <w:r>
        <w:rPr>
          <w:rFonts w:ascii="宋体" w:hAnsi="宋体" w:eastAsia="宋体"/>
          <w:szCs w:val="21"/>
        </w:rPr>
        <w:t>而学生互评</w:t>
      </w:r>
      <w:r>
        <w:rPr>
          <w:rFonts w:hint="eastAsia" w:ascii="宋体" w:hAnsi="宋体" w:eastAsia="宋体"/>
          <w:szCs w:val="21"/>
        </w:rPr>
        <w:t>为73分，</w:t>
      </w:r>
      <w:r>
        <w:rPr>
          <w:rFonts w:ascii="宋体" w:hAnsi="宋体" w:eastAsia="宋体"/>
          <w:szCs w:val="21"/>
        </w:rPr>
        <w:t>这表明学生在工具</w:t>
      </w:r>
      <w:r>
        <w:rPr>
          <w:rFonts w:hint="eastAsia" w:ascii="宋体" w:hAnsi="宋体" w:eastAsia="宋体"/>
          <w:szCs w:val="21"/>
        </w:rPr>
        <w:t>实操中有所差异，</w:t>
      </w:r>
      <w:r>
        <w:rPr>
          <w:rFonts w:ascii="宋体" w:hAnsi="宋体" w:eastAsia="宋体"/>
          <w:szCs w:val="21"/>
        </w:rPr>
        <w:t>使用的规范性方面仍有提升空间，需进一步减少操作失误，同时加强对工具各项功能的灵活运用能力。</w:t>
      </w:r>
    </w:p>
    <w:p w14:paraId="68B8A6C5">
      <w:pPr>
        <w:rPr>
          <w:rFonts w:hint="eastAsia" w:ascii="宋体" w:hAnsi="宋体" w:eastAsia="宋体"/>
          <w:szCs w:val="21"/>
        </w:rPr>
      </w:pPr>
      <w:r>
        <w:rPr>
          <w:rFonts w:hint="eastAsia" w:ascii="宋体" w:hAnsi="宋体" w:eastAsia="宋体"/>
          <w:szCs w:val="21"/>
        </w:rPr>
        <w:t>调整优化能力</w:t>
      </w:r>
    </w:p>
    <w:p w14:paraId="0EE2BFFE">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225647538"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BEC2062">
      <w:pPr>
        <w:ind w:firstLine="420"/>
        <w:rPr>
          <w:rFonts w:hint="eastAsia" w:ascii="宋体" w:hAnsi="宋体" w:eastAsia="宋体"/>
          <w:szCs w:val="21"/>
        </w:rPr>
      </w:pPr>
      <w:r>
        <w:rPr>
          <w:rFonts w:ascii="宋体" w:hAnsi="宋体" w:eastAsia="宋体"/>
          <w:szCs w:val="21"/>
        </w:rPr>
        <w:t>调整优化能力学校评</w:t>
      </w:r>
      <w:r>
        <w:rPr>
          <w:rFonts w:hint="eastAsia" w:ascii="宋体" w:hAnsi="宋体" w:eastAsia="宋体"/>
          <w:szCs w:val="21"/>
        </w:rPr>
        <w:t>69</w:t>
      </w:r>
      <w:r>
        <w:rPr>
          <w:rFonts w:ascii="宋体" w:hAnsi="宋体" w:eastAsia="宋体"/>
          <w:szCs w:val="21"/>
        </w:rPr>
        <w:t>分、学生自评</w:t>
      </w:r>
      <w:r>
        <w:rPr>
          <w:rFonts w:hint="eastAsia" w:ascii="宋体" w:hAnsi="宋体" w:eastAsia="宋体"/>
          <w:szCs w:val="21"/>
        </w:rPr>
        <w:t>67</w:t>
      </w:r>
      <w:r>
        <w:rPr>
          <w:rFonts w:ascii="宋体" w:hAnsi="宋体" w:eastAsia="宋体"/>
          <w:szCs w:val="21"/>
        </w:rPr>
        <w:t>分、学生互评</w:t>
      </w:r>
      <w:r>
        <w:rPr>
          <w:rFonts w:hint="eastAsia" w:ascii="宋体" w:hAnsi="宋体" w:eastAsia="宋体"/>
          <w:szCs w:val="21"/>
        </w:rPr>
        <w:t>75</w:t>
      </w:r>
      <w:r>
        <w:rPr>
          <w:rFonts w:ascii="宋体" w:hAnsi="宋体" w:eastAsia="宋体"/>
          <w:szCs w:val="21"/>
        </w:rPr>
        <w:t>分。学校认为</w:t>
      </w:r>
      <w:r>
        <w:rPr>
          <w:rFonts w:hint="eastAsia" w:ascii="宋体" w:hAnsi="宋体" w:eastAsia="宋体"/>
          <w:szCs w:val="21"/>
        </w:rPr>
        <w:t>目标达成率在65%-74%之间，产品优化次数较少，对项目的优化作用有限</w:t>
      </w:r>
      <w:r>
        <w:rPr>
          <w:rFonts w:ascii="宋体" w:hAnsi="宋体" w:eastAsia="宋体"/>
          <w:szCs w:val="21"/>
        </w:rPr>
        <w:t>；学生自评</w:t>
      </w:r>
      <w:r>
        <w:rPr>
          <w:rFonts w:hint="eastAsia" w:ascii="宋体" w:hAnsi="宋体" w:eastAsia="宋体"/>
          <w:szCs w:val="21"/>
        </w:rPr>
        <w:t>主动性较低，参与调整优化工作不积极，效果较差，对项目的改进贡献不大</w:t>
      </w:r>
      <w:r>
        <w:rPr>
          <w:rFonts w:ascii="宋体" w:hAnsi="宋体" w:eastAsia="宋体"/>
          <w:szCs w:val="21"/>
        </w:rPr>
        <w:t>；学生互评觉得</w:t>
      </w:r>
      <w:r>
        <w:rPr>
          <w:rFonts w:hint="eastAsia" w:ascii="宋体" w:hAnsi="宋体" w:eastAsia="宋体"/>
          <w:szCs w:val="21"/>
        </w:rPr>
        <w:t>调整优化创新性不足，但方案基本合理，能对项目进行一般性的改进，大家评价尚可。</w:t>
      </w:r>
    </w:p>
    <w:p w14:paraId="1CA3106B">
      <w:pPr>
        <w:ind w:firstLine="420"/>
        <w:rPr>
          <w:rFonts w:hint="eastAsia" w:ascii="宋体" w:hAnsi="宋体" w:eastAsia="宋体"/>
          <w:szCs w:val="21"/>
        </w:rPr>
      </w:pPr>
      <w:r>
        <w:rPr>
          <w:rFonts w:hint="eastAsia" w:ascii="宋体" w:hAnsi="宋体" w:eastAsia="宋体"/>
          <w:szCs w:val="21"/>
        </w:rPr>
        <w:t>提升建议：</w:t>
      </w:r>
    </w:p>
    <w:p w14:paraId="19367AA5">
      <w:pPr>
        <w:ind w:firstLine="420"/>
        <w:rPr>
          <w:rFonts w:hint="eastAsia" w:ascii="宋体" w:hAnsi="宋体" w:eastAsia="宋体"/>
          <w:szCs w:val="21"/>
        </w:rPr>
      </w:pPr>
      <w:r>
        <w:rPr>
          <w:rFonts w:hint="eastAsia" w:ascii="宋体" w:hAnsi="宋体" w:eastAsia="宋体"/>
          <w:szCs w:val="21"/>
        </w:rPr>
        <w:t>该学生的表现反映出其核心问题在于理论能力与实战需求之间的结构性错位。未来提升需围绕“夯实操作基础、强化市场衔接、优化自我认知”三个维度系统展开。首要任务是突破系统操作的瓶颈，尽管工具实操基础尚可，但系统操作能力的薄弱严重制约了整体效率，必须通过高频次、场景化的模块训练（如快速下单、资金调拨、风控参数设置）建立稳定可靠的操作肌肉记忆，避免在复杂行情中因操作失误错失良机。</w:t>
      </w:r>
    </w:p>
    <w:p w14:paraId="153750DF">
      <w:pPr>
        <w:ind w:firstLine="420"/>
        <w:rPr>
          <w:rFonts w:hint="eastAsia" w:ascii="宋体" w:hAnsi="宋体" w:eastAsia="宋体"/>
          <w:szCs w:val="21"/>
        </w:rPr>
      </w:pPr>
      <w:r>
        <w:rPr>
          <w:rFonts w:hint="eastAsia" w:ascii="宋体" w:hAnsi="宋体" w:eastAsia="宋体"/>
          <w:szCs w:val="21"/>
        </w:rPr>
        <w:t>关键在于推动数据分析与方案定制能力向实战转化。当前数据分析的企业评价远高于学校评分，显示出潜在的市场敏感度，但需进一步将这种敏感度转化为可持续的策略优势。建议引入行业真实案例进行深度复盘，重点训练在信息不完备情况下的快速决策能力，同时通过跨周期策略回测提升方案的适应性与韧性，弥合理论框架与市场真实逻辑之间的落差。</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200"/>
    <w:rsid w:val="00004E18"/>
    <w:rsid w:val="00260200"/>
    <w:rsid w:val="003861F7"/>
    <w:rsid w:val="00432916"/>
    <w:rsid w:val="004A24BA"/>
    <w:rsid w:val="005F19AA"/>
    <w:rsid w:val="0064531A"/>
    <w:rsid w:val="006963CB"/>
    <w:rsid w:val="00816E86"/>
    <w:rsid w:val="009574C4"/>
    <w:rsid w:val="0096146D"/>
    <w:rsid w:val="00964AF6"/>
    <w:rsid w:val="009E3A64"/>
    <w:rsid w:val="009F6081"/>
    <w:rsid w:val="00AF16F7"/>
    <w:rsid w:val="00BA0BB7"/>
    <w:rsid w:val="00CA2B09"/>
    <w:rsid w:val="00CB1A37"/>
    <w:rsid w:val="00DE3944"/>
    <w:rsid w:val="00E538E1"/>
    <w:rsid w:val="00E90CC4"/>
    <w:rsid w:val="00ED3CD1"/>
    <w:rsid w:val="00F458C5"/>
    <w:rsid w:val="00FC42DF"/>
    <w:rsid w:val="63A11274"/>
    <w:rsid w:val="67BC39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qFormat/>
    <w:uiPriority w:val="9"/>
    <w:rPr>
      <w:rFonts w:cstheme="majorBidi"/>
      <w:color w:val="104862" w:themeColor="accent1" w:themeShade="BF"/>
      <w:sz w:val="24"/>
      <w:szCs w:val="24"/>
    </w:rPr>
  </w:style>
  <w:style w:type="character" w:customStyle="1" w:styleId="22">
    <w:name w:val="标题 6 字符"/>
    <w:basedOn w:val="16"/>
    <w:link w:val="7"/>
    <w:semiHidden/>
    <w:qFormat/>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52</c:v>
                </c:pt>
                <c:pt idx="1">
                  <c:v>70</c:v>
                </c:pt>
                <c:pt idx="2">
                  <c:v>79</c:v>
                </c:pt>
                <c:pt idx="3">
                  <c:v>88</c:v>
                </c:pt>
                <c:pt idx="4">
                  <c:v>90</c:v>
                </c:pt>
                <c:pt idx="5">
                  <c:v>69</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91</c:v>
                </c:pt>
                <c:pt idx="3">
                  <c:v>73</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67</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99</c:v>
                </c:pt>
                <c:pt idx="4">
                  <c:v>73</c:v>
                </c:pt>
                <c:pt idx="5">
                  <c:v>75</c:v>
                </c:pt>
              </c:numCache>
            </c:numRef>
          </c:val>
        </c:ser>
        <c:dLbls>
          <c:showLegendKey val="0"/>
          <c:showVal val="1"/>
          <c:showCatName val="0"/>
          <c:showSerName val="0"/>
          <c:showPercent val="0"/>
          <c:showBubbleSize val="0"/>
        </c:dLbls>
        <c:gapWidth val="246"/>
        <c:overlap val="-28"/>
        <c:axId val="534919368"/>
        <c:axId val="150865207"/>
      </c:barChart>
      <c:catAx>
        <c:axId val="53491936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0865207"/>
        <c:crosses val="autoZero"/>
        <c:auto val="1"/>
        <c:lblAlgn val="ctr"/>
        <c:lblOffset val="100"/>
        <c:noMultiLvlLbl val="0"/>
      </c:catAx>
      <c:valAx>
        <c:axId val="15086520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3491936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d13efac0-12c3-49b0-a06d-2d7345f0d03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70</c:v>
                </c:pt>
                <c:pt idx="1">
                  <c:v>91</c:v>
                </c:pt>
              </c:numCache>
            </c:numRef>
          </c:val>
        </c:ser>
        <c:dLbls>
          <c:showLegendKey val="0"/>
          <c:showVal val="0"/>
          <c:showCatName val="0"/>
          <c:showSerName val="0"/>
          <c:showPercent val="0"/>
          <c:showBubbleSize val="0"/>
        </c:dLbls>
        <c:gapWidth val="246"/>
        <c:overlap val="-28"/>
        <c:axId val="376269782"/>
        <c:axId val="354444877"/>
      </c:barChart>
      <c:catAx>
        <c:axId val="37626978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54444877"/>
        <c:crosses val="autoZero"/>
        <c:auto val="1"/>
        <c:lblAlgn val="ctr"/>
        <c:lblOffset val="100"/>
        <c:noMultiLvlLbl val="0"/>
      </c:catAx>
      <c:valAx>
        <c:axId val="35444487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7626978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d8f53fa-e6be-4fec-a944-a34b5e2af9a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88</c:v>
                </c:pt>
                <c:pt idx="1">
                  <c:v>73</c:v>
                </c:pt>
                <c:pt idx="2">
                  <c:v>99</c:v>
                </c:pt>
              </c:numCache>
            </c:numRef>
          </c:val>
        </c:ser>
        <c:dLbls>
          <c:showLegendKey val="0"/>
          <c:showVal val="0"/>
          <c:showCatName val="0"/>
          <c:showSerName val="0"/>
          <c:showPercent val="0"/>
          <c:showBubbleSize val="0"/>
        </c:dLbls>
        <c:gapWidth val="246"/>
        <c:overlap val="-28"/>
        <c:axId val="176712484"/>
        <c:axId val="524474623"/>
      </c:barChart>
      <c:catAx>
        <c:axId val="17671248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24474623"/>
        <c:crosses val="autoZero"/>
        <c:auto val="1"/>
        <c:lblAlgn val="ctr"/>
        <c:lblOffset val="100"/>
        <c:noMultiLvlLbl val="0"/>
      </c:catAx>
      <c:valAx>
        <c:axId val="524474623"/>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7671248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ea4ab4bc-8bc2-45dc-99a4-ebb653b9682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[李思汉.xlsx]Sheet1!$A$7</c:f>
              <c:strCache>
                <c:ptCount val="1"/>
                <c:pt idx="0">
                  <c:v>工具实操</c:v>
                </c:pt>
              </c:strCache>
            </c:strRef>
          </c:tx>
          <c:spPr>
            <a:solidFill>
              <a:schemeClr val="accent1"/>
            </a:solidFill>
            <a:ln>
              <a:noFill/>
            </a:ln>
            <a:effectLst/>
          </c:spPr>
          <c:invertIfNegative val="0"/>
          <c:dLbls>
            <c:delete val="1"/>
          </c:dLbls>
          <c:cat>
            <c:strRef>
              <c:f>[李思汉.xlsx]Sheet1!$B$2:$E$2</c:f>
              <c:strCache>
                <c:ptCount val="2"/>
                <c:pt idx="0">
                  <c:v>学校</c:v>
                </c:pt>
                <c:pt idx="1">
                  <c:v>学生互评</c:v>
                </c:pt>
              </c:strCache>
            </c:strRef>
          </c:cat>
          <c:val>
            <c:numRef>
              <c:f>Sheet1!$B$7:$E$7</c:f>
              <c:numCache>
                <c:formatCode>General</c:formatCode>
                <c:ptCount val="2"/>
                <c:pt idx="0">
                  <c:v>90</c:v>
                </c:pt>
                <c:pt idx="1">
                  <c:v>73</c:v>
                </c:pt>
              </c:numCache>
            </c:numRef>
          </c:val>
        </c:ser>
        <c:dLbls>
          <c:showLegendKey val="0"/>
          <c:showVal val="0"/>
          <c:showCatName val="0"/>
          <c:showSerName val="0"/>
          <c:showPercent val="0"/>
          <c:showBubbleSize val="0"/>
        </c:dLbls>
        <c:gapWidth val="246"/>
        <c:overlap val="-28"/>
        <c:axId val="256825087"/>
        <c:axId val="760463926"/>
      </c:barChart>
      <c:catAx>
        <c:axId val="256825087"/>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60463926"/>
        <c:crosses val="autoZero"/>
        <c:auto val="1"/>
        <c:lblAlgn val="ctr"/>
        <c:lblOffset val="100"/>
        <c:noMultiLvlLbl val="0"/>
      </c:catAx>
      <c:valAx>
        <c:axId val="76046392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56825087"/>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69b4246-8f1f-4eae-8773-2c36adebcd6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[李思汉.xlsx]Sheet1!$A$8</c:f>
              <c:strCache>
                <c:ptCount val="1"/>
                <c:pt idx="0">
                  <c:v>调整优化</c:v>
                </c:pt>
              </c:strCache>
            </c:strRef>
          </c:tx>
          <c:spPr>
            <a:solidFill>
              <a:schemeClr val="accent1"/>
            </a:solidFill>
            <a:ln>
              <a:noFill/>
            </a:ln>
            <a:effectLst/>
          </c:spPr>
          <c:invertIfNegative val="0"/>
          <c:dLbls>
            <c:delete val="1"/>
          </c:dLbls>
          <c:cat>
            <c:strRef>
              <c:f>[李思汉.xlsx]Sheet1!$B$2:$E$2</c:f>
              <c:strCache>
                <c:ptCount val="3"/>
                <c:pt idx="0">
                  <c:v>学校</c:v>
                </c:pt>
                <c:pt idx="1">
                  <c:v>学生自评</c:v>
                </c:pt>
                <c:pt idx="2">
                  <c:v>学生互评</c:v>
                </c:pt>
              </c:strCache>
            </c:strRef>
          </c:cat>
          <c:val>
            <c:numRef>
              <c:f>Sheet1!$B$8:$E$8</c:f>
              <c:numCache>
                <c:formatCode>General</c:formatCode>
                <c:ptCount val="3"/>
                <c:pt idx="0">
                  <c:v>69</c:v>
                </c:pt>
                <c:pt idx="1">
                  <c:v>67</c:v>
                </c:pt>
                <c:pt idx="2">
                  <c:v>75</c:v>
                </c:pt>
              </c:numCache>
            </c:numRef>
          </c:val>
        </c:ser>
        <c:dLbls>
          <c:showLegendKey val="0"/>
          <c:showVal val="0"/>
          <c:showCatName val="0"/>
          <c:showSerName val="0"/>
          <c:showPercent val="0"/>
          <c:showBubbleSize val="0"/>
        </c:dLbls>
        <c:gapWidth val="246"/>
        <c:overlap val="-28"/>
        <c:axId val="602052002"/>
        <c:axId val="889800608"/>
      </c:barChart>
      <c:catAx>
        <c:axId val="60205200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89800608"/>
        <c:crosses val="autoZero"/>
        <c:auto val="1"/>
        <c:lblAlgn val="ctr"/>
        <c:lblOffset val="100"/>
        <c:noMultiLvlLbl val="0"/>
      </c:catAx>
      <c:valAx>
        <c:axId val="88980060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0205200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46dd9e2-39a2-4b58-9c87-46a331df293d}"/>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2157</Words>
  <Characters>2212</Characters>
  <Lines>65</Lines>
  <Paragraphs>51</Paragraphs>
  <TotalTime>60</TotalTime>
  <ScaleCrop>false</ScaleCrop>
  <LinksUpToDate>false</LinksUpToDate>
  <CharactersWithSpaces>2212</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2025-09-27T07:58:00Z</dcterms:created>
  <dc:creator>庆敏 侯</dc:creator>
  <cp:lastModifiedBy>Sternstunde</cp:lastModifiedBy>
  <dcterms:modified xsi:type="dcterms:W3CDTF">2025-09-29T12:31:01Z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9EC7F0C3DA44474A8369AAD09CD725EB_13</vt:lpwstr>
  </property>
</Properties>
</file>