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518A16">
      <w:pPr>
        <w:jc w:val="center"/>
        <w:rPr>
          <w:rFonts w:hint="eastAsia" w:ascii="宋体" w:hAnsi="宋体" w:eastAsia="宋体"/>
          <w:szCs w:val="21"/>
        </w:rPr>
      </w:pPr>
      <w:r>
        <w:rPr>
          <w:rFonts w:hint="eastAsia" w:ascii="宋体" w:hAnsi="宋体" w:eastAsia="宋体"/>
          <w:szCs w:val="21"/>
        </w:rPr>
        <w:t>期货模拟交易大赛实战--能力分析报告</w:t>
      </w:r>
    </w:p>
    <w:p w14:paraId="0F2B5B77">
      <w:pPr>
        <w:rPr>
          <w:rFonts w:hint="eastAsia" w:ascii="宋体" w:hAnsi="宋体" w:eastAsia="宋体"/>
          <w:szCs w:val="21"/>
          <w:lang w:eastAsia="zh-CN"/>
        </w:rPr>
      </w:pPr>
      <w:r>
        <w:rPr>
          <w:rFonts w:hint="eastAsia" w:ascii="宋体" w:hAnsi="宋体" w:eastAsia="宋体"/>
          <w:szCs w:val="21"/>
        </w:rPr>
        <w:t>学号：233061301131</w:t>
      </w:r>
    </w:p>
    <w:p w14:paraId="0D60A63F">
      <w:pPr>
        <w:rPr>
          <w:rFonts w:hint="eastAsia" w:ascii="宋体" w:hAnsi="宋体" w:eastAsia="宋体"/>
          <w:szCs w:val="21"/>
        </w:rPr>
      </w:pPr>
      <w:r>
        <w:rPr>
          <w:rFonts w:hint="eastAsia" w:ascii="宋体" w:hAnsi="宋体" w:eastAsia="宋体"/>
          <w:szCs w:val="21"/>
        </w:rPr>
        <w:t>姓名：王明轩</w:t>
      </w:r>
    </w:p>
    <w:p w14:paraId="4FD67356">
      <w:pPr>
        <w:rPr>
          <w:rFonts w:hint="eastAsia" w:ascii="宋体" w:hAnsi="宋体" w:eastAsia="宋体"/>
          <w:szCs w:val="21"/>
        </w:rPr>
      </w:pPr>
      <w:r>
        <w:rPr>
          <w:rFonts w:hint="eastAsia" w:ascii="宋体" w:hAnsi="宋体" w:eastAsia="宋体"/>
          <w:szCs w:val="21"/>
        </w:rPr>
        <w:t>总分：86（详见项目评分标准）</w:t>
      </w:r>
    </w:p>
    <w:p w14:paraId="711389C6">
      <w:pPr>
        <w:jc w:val="center"/>
        <w:rPr>
          <w:rFonts w:hint="eastAsia" w:ascii="宋体" w:hAnsi="宋体" w:eastAsia="宋体"/>
          <w:szCs w:val="21"/>
        </w:rPr>
      </w:pPr>
      <w:r>
        <w:rPr>
          <w:rFonts w:ascii="宋体" w:hAnsi="宋体" w:eastAsia="宋体"/>
          <w:szCs w:val="21"/>
        </w:rPr>
        <w:drawing>
          <wp:inline distT="0" distB="0" distL="0" distR="0">
            <wp:extent cx="4828540" cy="2746375"/>
            <wp:effectExtent l="0" t="0" r="10160" b="15875"/>
            <wp:docPr id="131031099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1599617A">
      <w:pPr>
        <w:rPr>
          <w:rFonts w:hint="eastAsia" w:ascii="宋体" w:hAnsi="宋体" w:eastAsia="宋体"/>
          <w:szCs w:val="21"/>
        </w:rPr>
      </w:pPr>
      <w:r>
        <w:rPr>
          <w:rFonts w:hint="eastAsia" w:ascii="宋体" w:hAnsi="宋体" w:eastAsia="宋体"/>
          <w:szCs w:val="21"/>
        </w:rPr>
        <w:t>从整体来看：</w:t>
      </w:r>
    </w:p>
    <w:p w14:paraId="3A789188">
      <w:pPr>
        <w:rPr>
          <w:rFonts w:hint="eastAsia" w:ascii="宋体" w:hAnsi="宋体" w:eastAsia="宋体"/>
          <w:szCs w:val="21"/>
        </w:rPr>
      </w:pPr>
      <w:r>
        <w:rPr>
          <w:rFonts w:ascii="宋体" w:hAnsi="宋体" w:eastAsia="宋体"/>
          <w:szCs w:val="21"/>
        </w:rPr>
        <w:t>优势</w:t>
      </w:r>
      <w:r>
        <w:rPr>
          <w:rFonts w:ascii="宋体" w:hAnsi="宋体" w:eastAsia="宋体"/>
          <w:szCs w:val="21"/>
        </w:rPr>
        <w:br w:type="textWrapping"/>
      </w:r>
      <w:r>
        <w:rPr>
          <w:rFonts w:ascii="宋体" w:hAnsi="宋体" w:eastAsia="宋体"/>
          <w:szCs w:val="21"/>
        </w:rPr>
        <w:t>该生在期货交易课程中展现出卓越的风险控制与策略优化能力，体现出对市场动态的精准把握和灵活应变素质。在工具实操和系统操作方面表现稳定，能够熟练运用交易平台完成基础指令执行。特别值得注意的是，其在方案定制环节获得企业高度认可，显示出将理论知识转化为商业价值的潜力，这种对接市场需求的思维能力是其显著优势。</w:t>
      </w:r>
    </w:p>
    <w:p w14:paraId="3E73CF4B">
      <w:pPr>
        <w:rPr>
          <w:rFonts w:hint="eastAsia" w:ascii="宋体" w:hAnsi="宋体" w:eastAsia="宋体"/>
          <w:szCs w:val="21"/>
        </w:rPr>
      </w:pPr>
      <w:r>
        <w:rPr>
          <w:rFonts w:ascii="宋体" w:hAnsi="宋体" w:eastAsia="宋体"/>
          <w:szCs w:val="21"/>
        </w:rPr>
        <w:t>短板</w:t>
      </w:r>
      <w:r>
        <w:rPr>
          <w:rFonts w:ascii="宋体" w:hAnsi="宋体" w:eastAsia="宋体"/>
          <w:szCs w:val="21"/>
        </w:rPr>
        <w:br w:type="textWrapping"/>
      </w:r>
      <w:r>
        <w:rPr>
          <w:rFonts w:ascii="宋体" w:hAnsi="宋体" w:eastAsia="宋体"/>
          <w:szCs w:val="21"/>
        </w:rPr>
        <w:t>尽管在多个维度表现优异，该生在团队协作方面存在明显提升空间。学生互评在方案定制和工具实操环节显著低于其他评分维度，反映出其虽然具备较强的个人能力，但在团队协同、知识共享等软技能方面仍需加强。此外，数据分析能力的企业评价与自评存在温差，提示其在将分析结论转化为团队可执行洞见的过程中需要提升沟通效能。若能加强团队融合与经验传导能力，将实现从"优秀执行者"到"团队赋能者"的重要跨越。</w:t>
      </w:r>
    </w:p>
    <w:p w14:paraId="24D45AAB">
      <w:pPr>
        <w:rPr>
          <w:rFonts w:hint="eastAsia" w:ascii="宋体" w:hAnsi="宋体" w:eastAsia="宋体"/>
          <w:szCs w:val="21"/>
        </w:rPr>
      </w:pPr>
    </w:p>
    <w:p w14:paraId="01A725BF">
      <w:pPr>
        <w:rPr>
          <w:rFonts w:hint="eastAsia" w:ascii="宋体" w:hAnsi="宋体" w:eastAsia="宋体"/>
          <w:szCs w:val="21"/>
        </w:rPr>
      </w:pPr>
      <w:r>
        <w:rPr>
          <w:rFonts w:hint="eastAsia" w:ascii="宋体" w:hAnsi="宋体" w:eastAsia="宋体"/>
          <w:szCs w:val="21"/>
        </w:rPr>
        <w:t>具体来看：</w:t>
      </w:r>
    </w:p>
    <w:p w14:paraId="045FB8C7">
      <w:pPr>
        <w:rPr>
          <w:rFonts w:hint="eastAsia" w:ascii="宋体" w:hAnsi="宋体" w:eastAsia="宋体"/>
          <w:szCs w:val="21"/>
        </w:rPr>
      </w:pPr>
      <w:r>
        <w:rPr>
          <w:rFonts w:hint="eastAsia" w:ascii="宋体" w:hAnsi="宋体" w:eastAsia="宋体"/>
          <w:szCs w:val="21"/>
        </w:rPr>
        <w:t>系统操作能力</w:t>
      </w:r>
    </w:p>
    <w:p w14:paraId="74603781">
      <w:pPr>
        <w:ind w:firstLine="420"/>
        <w:rPr>
          <w:rFonts w:hint="eastAsia" w:ascii="宋体" w:hAnsi="宋体" w:eastAsia="宋体"/>
          <w:szCs w:val="21"/>
        </w:rPr>
      </w:pPr>
      <w:r>
        <w:rPr>
          <w:rFonts w:ascii="宋体" w:hAnsi="宋体" w:eastAsia="宋体"/>
          <w:szCs w:val="21"/>
        </w:rPr>
        <w:t>在系统操作能力上，学校给出了</w:t>
      </w:r>
      <w:r>
        <w:rPr>
          <w:rFonts w:hint="eastAsia" w:ascii="宋体" w:hAnsi="宋体" w:eastAsia="宋体"/>
          <w:szCs w:val="21"/>
        </w:rPr>
        <w:t>88</w:t>
      </w:r>
      <w:r>
        <w:rPr>
          <w:rFonts w:ascii="宋体" w:hAnsi="宋体" w:eastAsia="宋体"/>
          <w:szCs w:val="21"/>
        </w:rPr>
        <w:t>分的评价。这意味着</w:t>
      </w:r>
      <w:r>
        <w:rPr>
          <w:rFonts w:hint="eastAsia" w:ascii="宋体" w:hAnsi="宋体" w:eastAsia="宋体"/>
          <w:szCs w:val="21"/>
        </w:rPr>
        <w:t>在规定时间内，该学生能高效且准确地完成复杂金融业务操作任务，正确率达到95%及以上，操作流程熟练流畅，对系统功能的运用精准且全面，能快速应对并解决操作过程中出现的突发小问题。</w:t>
      </w:r>
    </w:p>
    <w:p w14:paraId="4ADFC73A">
      <w:pPr>
        <w:ind w:firstLine="420"/>
        <w:rPr>
          <w:rFonts w:hint="eastAsia" w:ascii="宋体" w:hAnsi="宋体" w:eastAsia="宋体"/>
          <w:szCs w:val="21"/>
        </w:rPr>
      </w:pPr>
      <w:r>
        <w:rPr>
          <w:rFonts w:ascii="宋体" w:hAnsi="宋体" w:eastAsia="宋体"/>
          <w:szCs w:val="21"/>
        </w:rPr>
        <w:t>该同学在期货交易课程中表现出对交易平台出色的驾驭能力，其系统操作水准尤为突出。无论是订单的快速执行、交易参数的灵活配置，还是实时数据的精准提取，各项操作均展现出高度的熟练度与稳定性。这种流畅而可靠的操作表现，不仅体现了其对平台功能的深入理解，更反映出严谨的操作习惯和扎实的技术素养。这一优势为其在模拟交易中稳定发挥提供了有力支撑，也彰显出其在金融交易领域的良好发展潜力。</w:t>
      </w:r>
    </w:p>
    <w:p w14:paraId="21D26717">
      <w:pPr>
        <w:ind w:firstLine="420"/>
        <w:rPr>
          <w:rFonts w:hint="eastAsia" w:ascii="宋体" w:hAnsi="宋体" w:eastAsia="宋体"/>
          <w:szCs w:val="21"/>
        </w:rPr>
      </w:pPr>
      <w:r>
        <w:rPr>
          <w:rFonts w:hint="eastAsia" w:ascii="宋体" w:hAnsi="宋体" w:eastAsia="宋体"/>
          <w:szCs w:val="21"/>
        </w:rPr>
        <w:t>数据分析能力</w:t>
      </w:r>
    </w:p>
    <w:p w14:paraId="1FC99C13">
      <w:pPr>
        <w:jc w:val="center"/>
        <w:rPr>
          <w:rFonts w:hint="eastAsia" w:ascii="宋体" w:hAnsi="宋体" w:eastAsia="宋体"/>
          <w:szCs w:val="21"/>
        </w:rPr>
      </w:pPr>
      <w:r>
        <w:rPr>
          <w:rFonts w:ascii="宋体" w:hAnsi="宋体" w:eastAsia="宋体"/>
          <w:szCs w:val="21"/>
        </w:rPr>
        <w:drawing>
          <wp:inline distT="0" distB="0" distL="0" distR="0">
            <wp:extent cx="4828540" cy="2746375"/>
            <wp:effectExtent l="0" t="0" r="10160" b="15875"/>
            <wp:docPr id="116579012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2A5E794">
      <w:pPr>
        <w:ind w:firstLine="420"/>
        <w:rPr>
          <w:rFonts w:hint="eastAsia" w:ascii="宋体" w:hAnsi="宋体" w:eastAsia="宋体"/>
          <w:szCs w:val="21"/>
        </w:rPr>
      </w:pPr>
      <w:r>
        <w:rPr>
          <w:rFonts w:hint="eastAsia" w:ascii="宋体" w:hAnsi="宋体" w:eastAsia="宋体"/>
          <w:szCs w:val="21"/>
        </w:rPr>
        <w:t>数据分析能力学校给出79分，企业给出85分。</w:t>
      </w:r>
      <w:r>
        <w:rPr>
          <w:rFonts w:ascii="宋体" w:hAnsi="宋体" w:eastAsia="宋体"/>
          <w:szCs w:val="21"/>
        </w:rPr>
        <w:t>学校方面认为，</w:t>
      </w:r>
      <w:r>
        <w:rPr>
          <w:rFonts w:hint="eastAsia" w:ascii="宋体" w:hAnsi="宋体" w:eastAsia="宋体"/>
          <w:szCs w:val="21"/>
        </w:rPr>
        <w:t>报告分析方法基本合理，对数据的分析一般，结论基本可靠，能呈现数据的基本情况</w:t>
      </w:r>
      <w:r>
        <w:rPr>
          <w:rFonts w:ascii="宋体" w:hAnsi="宋体" w:eastAsia="宋体"/>
          <w:szCs w:val="21"/>
        </w:rPr>
        <w:t>；而企业方则指出，该</w:t>
      </w:r>
      <w:r>
        <w:rPr>
          <w:rFonts w:hint="eastAsia" w:ascii="宋体" w:hAnsi="宋体" w:eastAsia="宋体"/>
          <w:szCs w:val="21"/>
        </w:rPr>
        <w:t>数据分析结果对企业业务有较大指导价值，能为企业的部分决策提供帮助</w:t>
      </w:r>
      <w:r>
        <w:rPr>
          <w:rFonts w:ascii="宋体" w:hAnsi="宋体" w:eastAsia="宋体"/>
          <w:szCs w:val="21"/>
        </w:rPr>
        <w:t>。该生不仅展现出扎实的数据分析理论功底和方法论驾驭能力，更在知识转化层面表现出色，能够将学术积累有效运用于实际业务场景，形成兼具理论深度与商业价值的综合优势。</w:t>
      </w:r>
    </w:p>
    <w:p w14:paraId="703190B5">
      <w:pPr>
        <w:ind w:firstLine="420"/>
        <w:rPr>
          <w:rFonts w:hint="eastAsia" w:ascii="宋体" w:hAnsi="宋体" w:eastAsia="宋体"/>
          <w:szCs w:val="21"/>
        </w:rPr>
      </w:pPr>
      <w:r>
        <w:rPr>
          <w:rFonts w:hint="eastAsia" w:ascii="宋体" w:hAnsi="宋体" w:eastAsia="宋体"/>
          <w:szCs w:val="21"/>
        </w:rPr>
        <w:t>风险控制能力</w:t>
      </w:r>
    </w:p>
    <w:p w14:paraId="36B408C8">
      <w:pPr>
        <w:ind w:firstLine="420"/>
        <w:rPr>
          <w:rFonts w:hint="eastAsia" w:ascii="宋体" w:hAnsi="宋体" w:eastAsia="宋体"/>
          <w:szCs w:val="21"/>
        </w:rPr>
      </w:pPr>
      <w:r>
        <w:rPr>
          <w:rFonts w:ascii="宋体" w:hAnsi="宋体" w:eastAsia="宋体"/>
          <w:szCs w:val="21"/>
        </w:rPr>
        <w:t>风险控制能力学校评分为</w:t>
      </w:r>
      <w:r>
        <w:rPr>
          <w:rFonts w:hint="eastAsia" w:ascii="宋体" w:hAnsi="宋体" w:eastAsia="宋体"/>
          <w:szCs w:val="21"/>
        </w:rPr>
        <w:t>90</w:t>
      </w:r>
      <w:r>
        <w:rPr>
          <w:rFonts w:ascii="宋体" w:hAnsi="宋体" w:eastAsia="宋体"/>
          <w:szCs w:val="21"/>
        </w:rPr>
        <w:t>分，说明学生</w:t>
      </w:r>
      <w:r>
        <w:rPr>
          <w:rFonts w:hint="eastAsia" w:ascii="宋体" w:hAnsi="宋体" w:eastAsia="宋体"/>
          <w:szCs w:val="21"/>
        </w:rPr>
        <w:t>在风险发生的第一时间迅速采取有效的控制措施，缓释及时率和准确率均达到95%及以上，能将风险损失降到最低。</w:t>
      </w:r>
      <w:r>
        <w:rPr>
          <w:rFonts w:ascii="宋体" w:hAnsi="宋体" w:eastAsia="宋体"/>
          <w:szCs w:val="21"/>
        </w:rPr>
        <w:t>该生已系统掌握风险管理的标准流程与操作规范，在常态市场环境中能严格遵循规程实施有效管控。但在遭遇市场剧烈调整或系统性风险事件时，其应急决策的及时性与措施精准度仍有待加强。未来应通过高仿真极端行情模拟与压力情境演练，重点培养其对复杂风险信号的快速识别与动态响应能力，助力其实现从被动处置到主动预判、从事后补救到事中调控的风险管理范式升级，最终构建起更具适应性、韧性和前瞻性的风险控制体系。</w:t>
      </w:r>
    </w:p>
    <w:p w14:paraId="0C877118">
      <w:pPr>
        <w:ind w:firstLine="420"/>
        <w:rPr>
          <w:rFonts w:hint="eastAsia" w:ascii="宋体" w:hAnsi="宋体" w:eastAsia="宋体"/>
          <w:szCs w:val="21"/>
        </w:rPr>
      </w:pPr>
      <w:r>
        <w:rPr>
          <w:rFonts w:hint="eastAsia" w:ascii="宋体" w:hAnsi="宋体" w:eastAsia="宋体"/>
          <w:szCs w:val="21"/>
        </w:rPr>
        <w:t>方案定制能力</w:t>
      </w:r>
    </w:p>
    <w:p w14:paraId="430A69E7">
      <w:pPr>
        <w:jc w:val="center"/>
        <w:rPr>
          <w:rFonts w:hint="eastAsia" w:ascii="宋体" w:hAnsi="宋体" w:eastAsia="宋体"/>
          <w:szCs w:val="21"/>
        </w:rPr>
      </w:pPr>
      <w:r>
        <w:rPr>
          <w:rFonts w:ascii="宋体" w:hAnsi="宋体" w:eastAsia="宋体"/>
          <w:szCs w:val="21"/>
        </w:rPr>
        <w:drawing>
          <wp:inline distT="0" distB="0" distL="0" distR="0">
            <wp:extent cx="4828540" cy="2746375"/>
            <wp:effectExtent l="0" t="0" r="10160" b="15875"/>
            <wp:docPr id="212871102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87DBAB7">
      <w:pPr>
        <w:ind w:firstLine="420"/>
        <w:rPr>
          <w:rFonts w:hint="eastAsia" w:ascii="宋体" w:hAnsi="宋体" w:eastAsia="宋体"/>
          <w:szCs w:val="21"/>
        </w:rPr>
      </w:pPr>
      <w:r>
        <w:rPr>
          <w:rFonts w:ascii="宋体" w:hAnsi="宋体" w:eastAsia="宋体"/>
          <w:szCs w:val="21"/>
        </w:rPr>
        <w:t>方案定制能力方面，学校评分为</w:t>
      </w:r>
      <w:r>
        <w:rPr>
          <w:rFonts w:hint="eastAsia" w:ascii="宋体" w:hAnsi="宋体" w:eastAsia="宋体"/>
          <w:szCs w:val="21"/>
        </w:rPr>
        <w:t>81</w:t>
      </w:r>
      <w:r>
        <w:rPr>
          <w:rFonts w:ascii="宋体" w:hAnsi="宋体" w:eastAsia="宋体"/>
          <w:szCs w:val="21"/>
        </w:rPr>
        <w:t>分，企业评分为</w:t>
      </w:r>
      <w:r>
        <w:rPr>
          <w:rFonts w:hint="eastAsia" w:ascii="宋体" w:hAnsi="宋体" w:eastAsia="宋体"/>
          <w:szCs w:val="21"/>
        </w:rPr>
        <w:t>92</w:t>
      </w:r>
      <w:r>
        <w:rPr>
          <w:rFonts w:ascii="宋体" w:hAnsi="宋体" w:eastAsia="宋体"/>
          <w:szCs w:val="21"/>
        </w:rPr>
        <w:t>分，学生互评得分为</w:t>
      </w:r>
      <w:r>
        <w:rPr>
          <w:rFonts w:hint="eastAsia" w:ascii="宋体" w:hAnsi="宋体" w:eastAsia="宋体"/>
          <w:szCs w:val="21"/>
        </w:rPr>
        <w:t>69</w:t>
      </w:r>
      <w:r>
        <w:rPr>
          <w:rFonts w:ascii="宋体" w:hAnsi="宋体" w:eastAsia="宋体"/>
          <w:szCs w:val="21"/>
        </w:rPr>
        <w:t>分。学校方面认为</w:t>
      </w:r>
      <w:r>
        <w:rPr>
          <w:rFonts w:hint="eastAsia" w:ascii="宋体" w:hAnsi="宋体" w:eastAsia="宋体"/>
          <w:szCs w:val="21"/>
        </w:rPr>
        <w:t>方案较完整，设计方法较科学，可行性较高，能较好地满足客户的基本金融需求</w:t>
      </w:r>
      <w:r>
        <w:rPr>
          <w:rFonts w:ascii="宋体" w:hAnsi="宋体" w:eastAsia="宋体"/>
          <w:szCs w:val="21"/>
        </w:rPr>
        <w:t>；企业评价指出</w:t>
      </w:r>
      <w:r>
        <w:rPr>
          <w:rFonts w:hint="eastAsia" w:ascii="宋体" w:hAnsi="宋体" w:eastAsia="宋体"/>
          <w:szCs w:val="21"/>
        </w:rPr>
        <w:t>方案与客户反馈高度匹配，充分满足客户的个性化需求，得到客户的高度认可，对企业的客户满意度和业务口碑有极大提升</w:t>
      </w:r>
      <w:r>
        <w:rPr>
          <w:rFonts w:ascii="宋体" w:hAnsi="宋体" w:eastAsia="宋体"/>
          <w:szCs w:val="21"/>
        </w:rPr>
        <w:t>；学生互评则反映</w:t>
      </w:r>
      <w:r>
        <w:rPr>
          <w:rFonts w:hint="eastAsia" w:ascii="宋体" w:hAnsi="宋体" w:eastAsia="宋体"/>
          <w:szCs w:val="21"/>
        </w:rPr>
        <w:t>方案针对性和实用性较低，创新性差，对解决客户问题的作用不大。</w:t>
      </w:r>
      <w:r>
        <w:rPr>
          <w:rFonts w:ascii="宋体" w:hAnsi="宋体" w:eastAsia="宋体"/>
          <w:szCs w:val="21"/>
        </w:rPr>
        <w:t>该生在方案定制能力上呈现出显著的评估差异，这种多元评价结果折射出学术标准、市场需求与团队认知之间的价值取向差异。从能力结构来看，该生已具备扎实的方案设计基本功：学校81分的评价肯定其方案架构的完整性和方法论的科学性，企业92分的高分更印证其具备出色的客户需求转化能力，能够通过精准把握客户痛点设计出高度匹配的解决方案，这种市场对接能力正是金融行业亟需的核心竞争力。</w:t>
      </w:r>
    </w:p>
    <w:p w14:paraId="3272BCC0">
      <w:pPr>
        <w:ind w:firstLine="420"/>
        <w:rPr>
          <w:rFonts w:hint="eastAsia" w:ascii="宋体" w:hAnsi="宋体" w:eastAsia="宋体"/>
          <w:szCs w:val="21"/>
        </w:rPr>
      </w:pPr>
      <w:r>
        <w:rPr>
          <w:rFonts w:hint="eastAsia" w:ascii="宋体" w:hAnsi="宋体" w:eastAsia="宋体"/>
          <w:szCs w:val="21"/>
        </w:rPr>
        <w:t>工具实操能力</w:t>
      </w:r>
    </w:p>
    <w:p w14:paraId="76BFE6CB">
      <w:pPr>
        <w:ind w:firstLine="420"/>
        <w:jc w:val="center"/>
        <w:rPr>
          <w:rFonts w:hint="eastAsia" w:ascii="宋体" w:hAnsi="宋体" w:eastAsia="宋体"/>
          <w:szCs w:val="21"/>
        </w:rPr>
      </w:pPr>
      <w:r>
        <w:rPr>
          <w:rFonts w:ascii="宋体" w:hAnsi="宋体" w:eastAsia="宋体"/>
          <w:szCs w:val="21"/>
        </w:rPr>
        <w:drawing>
          <wp:inline distT="0" distB="0" distL="0" distR="0">
            <wp:extent cx="4828540" cy="2746375"/>
            <wp:effectExtent l="0" t="0" r="10160" b="15875"/>
            <wp:docPr id="84246119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8F37CC4">
      <w:pPr>
        <w:ind w:firstLine="420"/>
        <w:rPr>
          <w:rFonts w:hint="eastAsia" w:ascii="宋体" w:hAnsi="宋体" w:eastAsia="宋体"/>
          <w:szCs w:val="21"/>
        </w:rPr>
      </w:pPr>
      <w:r>
        <w:rPr>
          <w:rFonts w:ascii="宋体" w:hAnsi="宋体" w:eastAsia="宋体"/>
          <w:szCs w:val="21"/>
        </w:rPr>
        <w:t>在工具实操能力方面，学校评分为</w:t>
      </w:r>
      <w:r>
        <w:rPr>
          <w:rFonts w:hint="eastAsia" w:ascii="宋体" w:hAnsi="宋体" w:eastAsia="宋体"/>
          <w:szCs w:val="21"/>
        </w:rPr>
        <w:t>97</w:t>
      </w:r>
      <w:r>
        <w:rPr>
          <w:rFonts w:ascii="宋体" w:hAnsi="宋体" w:eastAsia="宋体"/>
          <w:szCs w:val="21"/>
        </w:rPr>
        <w:t>分，学生互评则为</w:t>
      </w:r>
      <w:r>
        <w:rPr>
          <w:rFonts w:hint="eastAsia" w:ascii="宋体" w:hAnsi="宋体" w:eastAsia="宋体"/>
          <w:szCs w:val="21"/>
        </w:rPr>
        <w:t>77</w:t>
      </w:r>
      <w:r>
        <w:rPr>
          <w:rFonts w:ascii="宋体" w:hAnsi="宋体" w:eastAsia="宋体"/>
          <w:szCs w:val="21"/>
        </w:rPr>
        <w:t>分。学校评价显示，</w:t>
      </w:r>
      <w:r>
        <w:rPr>
          <w:rFonts w:hint="eastAsia" w:ascii="宋体" w:hAnsi="宋体" w:eastAsia="宋体"/>
          <w:szCs w:val="21"/>
        </w:rPr>
        <w:t>在项目实践过程中，无错误操作次数达到规定次数的95%及以上，操作熟练精准，能灵活运用工具的各种功能，高效完成任务。</w:t>
      </w:r>
      <w:r>
        <w:rPr>
          <w:rFonts w:ascii="宋体" w:hAnsi="宋体" w:eastAsia="宋体"/>
          <w:szCs w:val="21"/>
        </w:rPr>
        <w:t>在学生互评环节中，工具实操能力获得</w:t>
      </w:r>
      <w:r>
        <w:rPr>
          <w:rFonts w:hint="eastAsia" w:ascii="宋体" w:hAnsi="宋体" w:eastAsia="宋体"/>
          <w:szCs w:val="21"/>
        </w:rPr>
        <w:t>中等</w:t>
      </w:r>
      <w:r>
        <w:rPr>
          <w:rFonts w:ascii="宋体" w:hAnsi="宋体" w:eastAsia="宋体"/>
          <w:szCs w:val="21"/>
        </w:rPr>
        <w:t>分数</w:t>
      </w:r>
      <w:r>
        <w:rPr>
          <w:rFonts w:hint="eastAsia" w:ascii="宋体" w:hAnsi="宋体" w:eastAsia="宋体"/>
          <w:szCs w:val="21"/>
        </w:rPr>
        <w:t>。</w:t>
      </w:r>
      <w:r>
        <w:rPr>
          <w:rFonts w:ascii="宋体" w:hAnsi="宋体" w:eastAsia="宋体"/>
          <w:szCs w:val="21"/>
        </w:rPr>
        <w:t>这一评估结果提示，该生在未来发展中需要实现从"技术熟练度"到"团队协同力"的跨越。建议在保持个人技术优势的同时，加强在协作场景中的工具应用能力培养：包括建立标准化操作共享机制，主动为团队提供技术支援，以及将个人高效操作经验转化为可复用的团队工作流程。通过提升工具使用的协同价值，实现个人技术能力与团队效能的共同提升，这对未来进入需要高度协作的金融实务环境具有重要意义。</w:t>
      </w:r>
    </w:p>
    <w:p w14:paraId="6C3AC49D">
      <w:pPr>
        <w:ind w:firstLine="420"/>
        <w:rPr>
          <w:rFonts w:hint="eastAsia" w:ascii="宋体" w:hAnsi="宋体" w:eastAsia="宋体"/>
          <w:szCs w:val="21"/>
        </w:rPr>
      </w:pPr>
      <w:r>
        <w:rPr>
          <w:rFonts w:hint="eastAsia" w:ascii="宋体" w:hAnsi="宋体" w:eastAsia="宋体"/>
          <w:szCs w:val="21"/>
        </w:rPr>
        <w:t>调整优化能力</w:t>
      </w:r>
    </w:p>
    <w:p w14:paraId="2595AEBA">
      <w:pPr>
        <w:jc w:val="center"/>
        <w:rPr>
          <w:rFonts w:hint="eastAsia" w:ascii="宋体" w:hAnsi="宋体" w:eastAsia="宋体"/>
          <w:szCs w:val="21"/>
        </w:rPr>
      </w:pPr>
      <w:r>
        <w:rPr>
          <w:rFonts w:ascii="宋体" w:hAnsi="宋体" w:eastAsia="宋体"/>
          <w:szCs w:val="21"/>
        </w:rPr>
        <w:drawing>
          <wp:inline distT="0" distB="0" distL="0" distR="0">
            <wp:extent cx="4828540" cy="2746375"/>
            <wp:effectExtent l="0" t="0" r="10160" b="15875"/>
            <wp:docPr id="105549589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B4360EB">
      <w:pPr>
        <w:ind w:firstLine="420"/>
        <w:rPr>
          <w:rFonts w:hint="eastAsia" w:ascii="宋体" w:hAnsi="宋体" w:eastAsia="宋体"/>
          <w:szCs w:val="21"/>
        </w:rPr>
      </w:pPr>
      <w:r>
        <w:rPr>
          <w:rFonts w:ascii="宋体" w:hAnsi="宋体" w:eastAsia="宋体"/>
          <w:szCs w:val="21"/>
        </w:rPr>
        <w:t>调整优化能力学校评</w:t>
      </w:r>
      <w:r>
        <w:rPr>
          <w:rFonts w:hint="eastAsia" w:ascii="宋体" w:hAnsi="宋体" w:eastAsia="宋体"/>
          <w:szCs w:val="21"/>
        </w:rPr>
        <w:t>93</w:t>
      </w:r>
      <w:r>
        <w:rPr>
          <w:rFonts w:ascii="宋体" w:hAnsi="宋体" w:eastAsia="宋体"/>
          <w:szCs w:val="21"/>
        </w:rPr>
        <w:t>分、学生自评</w:t>
      </w:r>
      <w:r>
        <w:rPr>
          <w:rFonts w:hint="eastAsia" w:ascii="宋体" w:hAnsi="宋体" w:eastAsia="宋体"/>
          <w:szCs w:val="21"/>
        </w:rPr>
        <w:t>93</w:t>
      </w:r>
      <w:r>
        <w:rPr>
          <w:rFonts w:ascii="宋体" w:hAnsi="宋体" w:eastAsia="宋体"/>
          <w:szCs w:val="21"/>
        </w:rPr>
        <w:t>分、学生互评</w:t>
      </w:r>
      <w:r>
        <w:rPr>
          <w:rFonts w:hint="eastAsia" w:ascii="宋体" w:hAnsi="宋体" w:eastAsia="宋体"/>
          <w:szCs w:val="21"/>
        </w:rPr>
        <w:t>82</w:t>
      </w:r>
      <w:r>
        <w:rPr>
          <w:rFonts w:ascii="宋体" w:hAnsi="宋体" w:eastAsia="宋体"/>
          <w:szCs w:val="21"/>
        </w:rPr>
        <w:t>分。学校认为</w:t>
      </w:r>
      <w:r>
        <w:rPr>
          <w:rFonts w:hint="eastAsia" w:ascii="宋体" w:hAnsi="宋体" w:eastAsia="宋体"/>
          <w:szCs w:val="21"/>
        </w:rPr>
        <w:t>目标达成率达到95%及以上，产品优化次数多且效果显著，能根据实际情况不断创新和改进，对项目的成功起到关键作用。</w:t>
      </w:r>
      <w:r>
        <w:rPr>
          <w:rFonts w:ascii="宋体" w:hAnsi="宋体" w:eastAsia="宋体"/>
          <w:szCs w:val="21"/>
        </w:rPr>
        <w:t>学生自评</w:t>
      </w:r>
      <w:r>
        <w:rPr>
          <w:rFonts w:hint="eastAsia" w:ascii="宋体" w:hAnsi="宋体" w:eastAsia="宋体"/>
          <w:szCs w:val="21"/>
        </w:rPr>
        <w:t>主动性高，积极主动地寻找问题和改进方向，调整优化效果显著，对项目的提升有重大贡献；</w:t>
      </w:r>
      <w:r>
        <w:rPr>
          <w:rFonts w:ascii="宋体" w:hAnsi="宋体" w:eastAsia="宋体"/>
          <w:szCs w:val="21"/>
        </w:rPr>
        <w:t>学生互评觉得</w:t>
      </w:r>
      <w:r>
        <w:rPr>
          <w:rFonts w:hint="eastAsia" w:ascii="宋体" w:hAnsi="宋体" w:eastAsia="宋体"/>
          <w:szCs w:val="21"/>
        </w:rPr>
        <w:t>调整优化有一定的创新性，方案较合理，能对项目有较好的改进作用，得到大多数人的认可。该生</w:t>
      </w:r>
      <w:r>
        <w:rPr>
          <w:rFonts w:ascii="宋体" w:hAnsi="宋体" w:eastAsia="宋体"/>
          <w:szCs w:val="21"/>
        </w:rPr>
        <w:t>这种能力特征在期货交易领域具有特殊价值：一方面，高频交易环境要求从业者具备快速识别问题、动态调整策略的能力；另一方面，风控优化更需要系统化思维而非零散改进。该生展现出的"创新+实效"双重特质，恰好契合现代金融行业对复合型人才的需求。若能在保持创新活力的同时，加强优化方案的可视化沟通与团队赋能，将进一步提升其领导潜力。建议通过参与跨部门复杂项目，锻炼将技术优化转化为团队共识的能力，这对未来走向交易团队核心岗位具有重要意义。</w:t>
      </w:r>
    </w:p>
    <w:p w14:paraId="57348507">
      <w:pPr>
        <w:ind w:firstLine="420"/>
        <w:rPr>
          <w:rFonts w:hint="eastAsia" w:ascii="宋体" w:hAnsi="宋体" w:eastAsia="宋体"/>
          <w:szCs w:val="21"/>
        </w:rPr>
      </w:pPr>
      <w:r>
        <w:rPr>
          <w:rFonts w:hint="eastAsia" w:ascii="宋体" w:hAnsi="宋体" w:eastAsia="宋体"/>
          <w:szCs w:val="21"/>
        </w:rPr>
        <w:t>提升建议：</w:t>
      </w:r>
    </w:p>
    <w:p w14:paraId="3CEEF2B4">
      <w:pPr>
        <w:ind w:firstLine="420"/>
        <w:rPr>
          <w:rFonts w:hint="eastAsia" w:ascii="宋体" w:hAnsi="宋体" w:eastAsia="宋体"/>
          <w:szCs w:val="21"/>
        </w:rPr>
      </w:pPr>
      <w:r>
        <w:rPr>
          <w:rFonts w:hint="eastAsia" w:ascii="宋体" w:hAnsi="宋体" w:eastAsia="宋体"/>
          <w:szCs w:val="21"/>
        </w:rPr>
        <w:t>该生已展现出优秀的专业基础与个人交易能力，建议从以下三方面实现能力跃升：首先，强化团队协同与知识转化能力。尽管个人技术指标突出，但互评成绩反映出团队协作效能有待提升。建议在模拟交易中主动承担策略讲解、风险预警等团队协调角色，通过建立标准化沟通机制，将个人专业判断有效转化为团队共识。可定期组织交易复盘会，培养清晰表达分析逻辑、精准传递风险信息的能力，弥合个人能力与团队效能之间的差距。</w:t>
      </w:r>
    </w:p>
    <w:p w14:paraId="2DAFE56F">
      <w:pPr>
        <w:ind w:firstLine="420"/>
        <w:rPr>
          <w:rFonts w:hint="eastAsia" w:ascii="宋体" w:hAnsi="宋体" w:eastAsia="宋体"/>
          <w:szCs w:val="21"/>
        </w:rPr>
      </w:pPr>
      <w:r>
        <w:rPr>
          <w:rFonts w:hint="eastAsia" w:ascii="宋体" w:hAnsi="宋体" w:eastAsia="宋体"/>
          <w:szCs w:val="21"/>
        </w:rPr>
        <w:t>其次，推动数据分析与市场实践的深度融合。虽然具备扎实的分析基础，但需进一步提升数据洞察的实战价值。建议引入行业真实数据集，开展基于多因子模型的策略回测训练，重点培养从庞杂信息中快速提取有效信号的能力。同时加强与实务专家的案例研讨，学习将分析结论转化为可执行交易指令的技巧，增强分析成果的操作性和时效性。</w:t>
      </w:r>
    </w:p>
    <w:p w14:paraId="1C14EA8A">
      <w:pPr>
        <w:ind w:firstLine="420"/>
        <w:rPr>
          <w:rFonts w:hint="eastAsia" w:ascii="宋体" w:hAnsi="宋体" w:eastAsia="宋体"/>
          <w:szCs w:val="21"/>
        </w:rPr>
      </w:pPr>
      <w:r>
        <w:rPr>
          <w:rFonts w:hint="eastAsia" w:ascii="宋体" w:hAnsi="宋体" w:eastAsia="宋体"/>
          <w:szCs w:val="21"/>
        </w:rPr>
        <w:t>最后，构建"个人卓越-团队赋能"的双重能力体系。在保持系统操作、风险控制等核心优势的同时，应注重将个人经验转化为团队资产。可通过编写操作手册、设计训练模块等方式，系统化输出专业知识。参与跨部门合作项目，在复杂场景中锻炼资源整合与协同决策能力，逐步完成从技术执行者到团队价值放大器的角色转变，最终形成兼具交易实力与领导潜质的综合竞争力。</w:t>
      </w:r>
      <w:bookmarkStart w:id="0" w:name="_GoBack"/>
      <w:bookmarkEnd w:id="0"/>
    </w:p>
    <w:p w14:paraId="69766E05">
      <w:pPr>
        <w:rPr>
          <w:rFonts w:hint="eastAsia" w:ascii="宋体" w:hAnsi="宋体" w:eastAsia="宋体"/>
          <w:szCs w:val="21"/>
        </w:rPr>
      </w:pPr>
    </w:p>
    <w:p w14:paraId="0413DCE2">
      <w:pPr>
        <w:rPr>
          <w:rFonts w:hint="eastAsia" w:ascii="宋体" w:hAnsi="宋体" w:eastAsia="宋体"/>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20"/>
    <w:rsid w:val="00004E18"/>
    <w:rsid w:val="000D6520"/>
    <w:rsid w:val="003861F7"/>
    <w:rsid w:val="0046774E"/>
    <w:rsid w:val="004A24BA"/>
    <w:rsid w:val="00576EA7"/>
    <w:rsid w:val="005E6B64"/>
    <w:rsid w:val="0064531A"/>
    <w:rsid w:val="00816E86"/>
    <w:rsid w:val="008C533B"/>
    <w:rsid w:val="009574C4"/>
    <w:rsid w:val="0096146D"/>
    <w:rsid w:val="00964AF6"/>
    <w:rsid w:val="009B3F12"/>
    <w:rsid w:val="00A6131B"/>
    <w:rsid w:val="00AF16F7"/>
    <w:rsid w:val="00B24BFD"/>
    <w:rsid w:val="00B77E98"/>
    <w:rsid w:val="00C43AD0"/>
    <w:rsid w:val="00CB45C7"/>
    <w:rsid w:val="00D75A9F"/>
    <w:rsid w:val="00DA6649"/>
    <w:rsid w:val="00E538E1"/>
    <w:rsid w:val="00F458C5"/>
    <w:rsid w:val="00FF0038"/>
    <w:rsid w:val="00FF2271"/>
    <w:rsid w:val="24CC2879"/>
    <w:rsid w:val="403257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jc w:val="left"/>
    </w:pPr>
    <w:rPr>
      <w:sz w:val="18"/>
      <w:szCs w:val="18"/>
    </w:rPr>
  </w:style>
  <w:style w:type="paragraph" w:styleId="12">
    <w:name w:val="header"/>
    <w:basedOn w:val="1"/>
    <w:link w:val="35"/>
    <w:unhideWhenUsed/>
    <w:qFormat/>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qFormat/>
    <w:uiPriority w:val="9"/>
    <w:rPr>
      <w:rFonts w:cstheme="majorBidi"/>
      <w:color w:val="104862" w:themeColor="accent1" w:themeShade="BF"/>
      <w:sz w:val="28"/>
      <w:szCs w:val="28"/>
    </w:rPr>
  </w:style>
  <w:style w:type="character" w:customStyle="1" w:styleId="21">
    <w:name w:val="标题 5 字符"/>
    <w:basedOn w:val="16"/>
    <w:link w:val="6"/>
    <w:semiHidden/>
    <w:qFormat/>
    <w:uiPriority w:val="9"/>
    <w:rPr>
      <w:rFonts w:cstheme="majorBidi"/>
      <w:color w:val="104862" w:themeColor="accent1" w:themeShade="BF"/>
      <w:sz w:val="24"/>
      <w:szCs w:val="24"/>
    </w:rPr>
  </w:style>
  <w:style w:type="character" w:customStyle="1" w:styleId="22">
    <w:name w:val="标题 6 字符"/>
    <w:basedOn w:val="16"/>
    <w:link w:val="7"/>
    <w:semiHidden/>
    <w:qFormat/>
    <w:uiPriority w:val="9"/>
    <w:rPr>
      <w:rFonts w:cstheme="majorBidi"/>
      <w:b/>
      <w:bCs/>
      <w:color w:val="104862"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qFormat/>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qFormat/>
    <w:uiPriority w:val="99"/>
    <w:rPr>
      <w:sz w:val="18"/>
      <w:szCs w:val="18"/>
    </w:rPr>
  </w:style>
  <w:style w:type="character" w:customStyle="1" w:styleId="36">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5.xml"/><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能力评分统计</a:t>
            </a:r>
            <a:endParaRPr lang="zh-CN" altLang="en-US"/>
          </a:p>
        </c:rich>
      </c:tx>
      <c:layout/>
      <c:overlay val="0"/>
      <c:spPr>
        <a:noFill/>
        <a:ln>
          <a:noFill/>
        </a:ln>
        <a:effectLst/>
      </c:spPr>
    </c:title>
    <c:autoTitleDeleted val="0"/>
    <c:plotArea>
      <c:layout/>
      <c:barChart>
        <c:barDir val="col"/>
        <c:grouping val="clustered"/>
        <c:varyColors val="0"/>
        <c:ser>
          <c:idx val="0"/>
          <c:order val="0"/>
          <c:tx>
            <c:strRef>
              <c:f>[李思汉.xlsx]Sheet1!$B$2</c:f>
              <c:strCache>
                <c:ptCount val="1"/>
                <c:pt idx="0">
                  <c:v>学校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[李思汉.xlsx]Sheet1!$B$3:$B$8</c:f>
              <c:numCache>
                <c:formatCode>General</c:formatCode>
                <c:ptCount val="6"/>
                <c:pt idx="0">
                  <c:v>88</c:v>
                </c:pt>
                <c:pt idx="1">
                  <c:v>79</c:v>
                </c:pt>
                <c:pt idx="2">
                  <c:v>90</c:v>
                </c:pt>
                <c:pt idx="3">
                  <c:v>81</c:v>
                </c:pt>
                <c:pt idx="4">
                  <c:v>97</c:v>
                </c:pt>
                <c:pt idx="5">
                  <c:v>93</c:v>
                </c:pt>
              </c:numCache>
            </c:numRef>
          </c:val>
        </c:ser>
        <c:ser>
          <c:idx val="1"/>
          <c:order val="1"/>
          <c:tx>
            <c:strRef>
              <c:f>[李思汉.xlsx]Sheet1!$C$2</c:f>
              <c:strCache>
                <c:ptCount val="1"/>
                <c:pt idx="0">
                  <c:v>企业</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[李思汉.xlsx]Sheet1!$C$3:$C$8</c:f>
              <c:numCache>
                <c:formatCode>General</c:formatCode>
                <c:ptCount val="6"/>
                <c:pt idx="1">
                  <c:v>85</c:v>
                </c:pt>
                <c:pt idx="3">
                  <c:v>92</c:v>
                </c:pt>
              </c:numCache>
            </c:numRef>
          </c:val>
        </c:ser>
        <c:ser>
          <c:idx val="2"/>
          <c:order val="2"/>
          <c:tx>
            <c:strRef>
              <c:f>[李思汉.xlsx]Sheet1!$D$2</c:f>
              <c:strCache>
                <c:ptCount val="1"/>
                <c:pt idx="0">
                  <c:v>学生自评</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[李思汉.xlsx]Sheet1!$D$3:$D$8</c:f>
              <c:numCache>
                <c:formatCode>General</c:formatCode>
                <c:ptCount val="6"/>
                <c:pt idx="5">
                  <c:v>93</c:v>
                </c:pt>
              </c:numCache>
            </c:numRef>
          </c:val>
        </c:ser>
        <c:ser>
          <c:idx val="3"/>
          <c:order val="3"/>
          <c:tx>
            <c:strRef>
              <c:f>[李思汉.xlsx]Sheet1!$E$2</c:f>
              <c:strCache>
                <c:ptCount val="1"/>
                <c:pt idx="0">
                  <c:v>学生互评</c:v>
                </c:pt>
              </c:strCache>
            </c:strRef>
          </c:tx>
          <c:spPr>
            <a:solidFill>
              <a:schemeClr val="accent4"/>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[李思汉.xlsx]Sheet1!$E$3:$E$8</c:f>
              <c:numCache>
                <c:formatCode>General</c:formatCode>
                <c:ptCount val="6"/>
                <c:pt idx="3">
                  <c:v>69</c:v>
                </c:pt>
                <c:pt idx="4">
                  <c:v>77</c:v>
                </c:pt>
                <c:pt idx="5">
                  <c:v>82</c:v>
                </c:pt>
              </c:numCache>
            </c:numRef>
          </c:val>
        </c:ser>
        <c:dLbls>
          <c:showLegendKey val="0"/>
          <c:showVal val="1"/>
          <c:showCatName val="0"/>
          <c:showSerName val="0"/>
          <c:showPercent val="0"/>
          <c:showBubbleSize val="0"/>
        </c:dLbls>
        <c:gapWidth val="246"/>
        <c:overlap val="-28"/>
        <c:axId val="614037336"/>
        <c:axId val="912521984"/>
      </c:barChart>
      <c:catAx>
        <c:axId val="61403733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12521984"/>
        <c:crosses val="autoZero"/>
        <c:auto val="1"/>
        <c:lblAlgn val="ctr"/>
        <c:lblOffset val="100"/>
        <c:noMultiLvlLbl val="0"/>
      </c:catAx>
      <c:valAx>
        <c:axId val="912521984"/>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403733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8ec278b-2d77-4bb2-846d-695443c3bdc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[李思汉.xlsx]Sheet1!$A$4</c:f>
              <c:strCache>
                <c:ptCount val="1"/>
                <c:pt idx="0">
                  <c:v>数据分析</c:v>
                </c:pt>
              </c:strCache>
            </c:strRef>
          </c:tx>
          <c:spPr>
            <a:solidFill>
              <a:schemeClr val="accent1"/>
            </a:solidFill>
            <a:ln>
              <a:noFill/>
            </a:ln>
            <a:effectLst/>
          </c:spPr>
          <c:invertIfNegative val="0"/>
          <c:dLbls>
            <c:delete val="1"/>
          </c:dLbls>
          <c:cat>
            <c:strRef>
              <c:f>[李思汉.xlsx]Sheet1!$B$2:$C$2</c:f>
              <c:strCache>
                <c:ptCount val="2"/>
                <c:pt idx="0">
                  <c:v>学校</c:v>
                </c:pt>
                <c:pt idx="1">
                  <c:v>企业</c:v>
                </c:pt>
              </c:strCache>
            </c:strRef>
          </c:cat>
          <c:val>
            <c:numRef>
              <c:f>[李思汉.xlsx]Sheet1!$B$4:$C$4</c:f>
              <c:numCache>
                <c:formatCode>General</c:formatCode>
                <c:ptCount val="2"/>
                <c:pt idx="0">
                  <c:v>79</c:v>
                </c:pt>
                <c:pt idx="1">
                  <c:v>85</c:v>
                </c:pt>
              </c:numCache>
            </c:numRef>
          </c:val>
        </c:ser>
        <c:dLbls>
          <c:showLegendKey val="0"/>
          <c:showVal val="0"/>
          <c:showCatName val="0"/>
          <c:showSerName val="0"/>
          <c:showPercent val="0"/>
          <c:showBubbleSize val="0"/>
        </c:dLbls>
        <c:gapWidth val="246"/>
        <c:overlap val="-28"/>
        <c:axId val="81087695"/>
        <c:axId val="631508591"/>
      </c:barChart>
      <c:catAx>
        <c:axId val="81087695"/>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31508591"/>
        <c:crosses val="autoZero"/>
        <c:auto val="1"/>
        <c:lblAlgn val="ctr"/>
        <c:lblOffset val="100"/>
        <c:noMultiLvlLbl val="0"/>
      </c:catAx>
      <c:valAx>
        <c:axId val="631508591"/>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08769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ec761077-2ce4-40ff-bf7b-d283f18ef28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[李思汉.xlsx]Sheet1!$A$6</c:f>
              <c:strCache>
                <c:ptCount val="1"/>
                <c:pt idx="0">
                  <c:v>方案定制</c:v>
                </c:pt>
              </c:strCache>
            </c:strRef>
          </c:tx>
          <c:spPr>
            <a:solidFill>
              <a:schemeClr val="accent1"/>
            </a:solidFill>
            <a:ln>
              <a:noFill/>
            </a:ln>
            <a:effectLst/>
          </c:spPr>
          <c:invertIfNegative val="0"/>
          <c:dLbls>
            <c:delete val="1"/>
          </c:dLbls>
          <c:cat>
            <c:strRef>
              <c:f>[李思汉.xlsx]Sheet1!$B$2:$E$2</c:f>
              <c:strCache>
                <c:ptCount val="3"/>
                <c:pt idx="0">
                  <c:v>学校</c:v>
                </c:pt>
                <c:pt idx="1">
                  <c:v>企业</c:v>
                </c:pt>
                <c:pt idx="2">
                  <c:v>学生互评</c:v>
                </c:pt>
              </c:strCache>
            </c:strRef>
          </c:cat>
          <c:val>
            <c:numRef>
              <c:f>Sheet1!$B$6:$E$6</c:f>
              <c:numCache>
                <c:formatCode>General</c:formatCode>
                <c:ptCount val="3"/>
                <c:pt idx="0">
                  <c:v>81</c:v>
                </c:pt>
                <c:pt idx="1">
                  <c:v>92</c:v>
                </c:pt>
                <c:pt idx="2">
                  <c:v>69</c:v>
                </c:pt>
              </c:numCache>
            </c:numRef>
          </c:val>
        </c:ser>
        <c:dLbls>
          <c:showLegendKey val="0"/>
          <c:showVal val="0"/>
          <c:showCatName val="0"/>
          <c:showSerName val="0"/>
          <c:showPercent val="0"/>
          <c:showBubbleSize val="0"/>
        </c:dLbls>
        <c:gapWidth val="246"/>
        <c:overlap val="-28"/>
        <c:axId val="338500271"/>
        <c:axId val="70566380"/>
      </c:barChart>
      <c:catAx>
        <c:axId val="338500271"/>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566380"/>
        <c:crosses val="autoZero"/>
        <c:auto val="1"/>
        <c:lblAlgn val="ctr"/>
        <c:lblOffset val="100"/>
        <c:noMultiLvlLbl val="0"/>
      </c:catAx>
      <c:valAx>
        <c:axId val="7056638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3850027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827ec0b-a09a-42eb-bb3c-35a56c54cfc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[李思汉.xlsx]Sheet1!$A$7</c:f>
              <c:strCache>
                <c:ptCount val="1"/>
                <c:pt idx="0">
                  <c:v>工具实操</c:v>
                </c:pt>
              </c:strCache>
            </c:strRef>
          </c:tx>
          <c:spPr>
            <a:solidFill>
              <a:schemeClr val="accent1"/>
            </a:solidFill>
            <a:ln>
              <a:noFill/>
            </a:ln>
            <a:effectLst/>
          </c:spPr>
          <c:invertIfNegative val="0"/>
          <c:dLbls>
            <c:delete val="1"/>
          </c:dLbls>
          <c:cat>
            <c:strRef>
              <c:f>[李思汉.xlsx]Sheet1!$B$2:$E$2</c:f>
              <c:strCache>
                <c:ptCount val="2"/>
                <c:pt idx="0">
                  <c:v>学校</c:v>
                </c:pt>
                <c:pt idx="1">
                  <c:v>学生互评</c:v>
                </c:pt>
              </c:strCache>
            </c:strRef>
          </c:cat>
          <c:val>
            <c:numRef>
              <c:f>Sheet1!$B$7:$E$7</c:f>
              <c:numCache>
                <c:formatCode>General</c:formatCode>
                <c:ptCount val="2"/>
                <c:pt idx="0">
                  <c:v>97</c:v>
                </c:pt>
                <c:pt idx="1">
                  <c:v>77</c:v>
                </c:pt>
              </c:numCache>
            </c:numRef>
          </c:val>
        </c:ser>
        <c:dLbls>
          <c:showLegendKey val="0"/>
          <c:showVal val="0"/>
          <c:showCatName val="0"/>
          <c:showSerName val="0"/>
          <c:showPercent val="0"/>
          <c:showBubbleSize val="0"/>
        </c:dLbls>
        <c:gapWidth val="246"/>
        <c:overlap val="-28"/>
        <c:axId val="348489436"/>
        <c:axId val="834158182"/>
      </c:barChart>
      <c:catAx>
        <c:axId val="34848943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34158182"/>
        <c:crosses val="autoZero"/>
        <c:auto val="1"/>
        <c:lblAlgn val="ctr"/>
        <c:lblOffset val="100"/>
        <c:noMultiLvlLbl val="0"/>
      </c:catAx>
      <c:valAx>
        <c:axId val="83415818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4848943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a94c4e8-8c26-4da1-9a86-36b0d5fce4a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[李思汉.xlsx]Sheet1!$A$8</c:f>
              <c:strCache>
                <c:ptCount val="1"/>
                <c:pt idx="0">
                  <c:v>调整优化</c:v>
                </c:pt>
              </c:strCache>
            </c:strRef>
          </c:tx>
          <c:spPr>
            <a:solidFill>
              <a:schemeClr val="accent1"/>
            </a:solidFill>
            <a:ln>
              <a:noFill/>
            </a:ln>
            <a:effectLst/>
          </c:spPr>
          <c:invertIfNegative val="0"/>
          <c:dLbls>
            <c:delete val="1"/>
          </c:dLbls>
          <c:cat>
            <c:strRef>
              <c:f>[李思汉.xlsx]Sheet1!$B$2:$E$2</c:f>
              <c:strCache>
                <c:ptCount val="3"/>
                <c:pt idx="0">
                  <c:v>学校</c:v>
                </c:pt>
                <c:pt idx="1">
                  <c:v>学生自评</c:v>
                </c:pt>
                <c:pt idx="2">
                  <c:v>学生互评</c:v>
                </c:pt>
              </c:strCache>
            </c:strRef>
          </c:cat>
          <c:val>
            <c:numRef>
              <c:f>Sheet1!$B$8:$E$8</c:f>
              <c:numCache>
                <c:formatCode>General</c:formatCode>
                <c:ptCount val="3"/>
                <c:pt idx="0">
                  <c:v>93</c:v>
                </c:pt>
                <c:pt idx="1">
                  <c:v>93</c:v>
                </c:pt>
                <c:pt idx="2">
                  <c:v>82</c:v>
                </c:pt>
              </c:numCache>
            </c:numRef>
          </c:val>
        </c:ser>
        <c:dLbls>
          <c:showLegendKey val="0"/>
          <c:showVal val="0"/>
          <c:showCatName val="0"/>
          <c:showSerName val="0"/>
          <c:showPercent val="0"/>
          <c:showBubbleSize val="0"/>
        </c:dLbls>
        <c:gapWidth val="246"/>
        <c:overlap val="-28"/>
        <c:axId val="893450523"/>
        <c:axId val="933051475"/>
      </c:barChart>
      <c:catAx>
        <c:axId val="893450523"/>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3051475"/>
        <c:crosses val="autoZero"/>
        <c:auto val="1"/>
        <c:lblAlgn val="ctr"/>
        <c:lblOffset val="100"/>
        <c:noMultiLvlLbl val="0"/>
      </c:catAx>
      <c:valAx>
        <c:axId val="933051475"/>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9345052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bc62a87-a11e-42d6-ae9a-8bb6dc908bf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2792</Words>
  <Characters>2840</Characters>
  <Lines>74</Lines>
  <Paragraphs>52</Paragraphs>
  <TotalTime>42</TotalTime>
  <ScaleCrop>false</ScaleCrop>
  <LinksUpToDate>false</LinksUpToDate>
  <CharactersWithSpaces>2840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2025-09-27T13:36:00Z</dcterms:created>
  <dc:creator>庆敏 侯</dc:creator>
  <cp:lastModifiedBy>Sternstunde</cp:lastModifiedBy>
  <dcterms:modified xsi:type="dcterms:W3CDTF">2025-09-29T12:30:46Z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eyJoZGlkIjoiZWQyMWE4Zjg0MmRlODNhZGU0MGE5ODQ2MWVhMzIzM2EiLCJ1c2VySWQiOiI0Mjk5MDk4NDUifQ==</vt:lpwstr>
  </property>
  <property fmtid="{D5CDD505-2E9C-101B-9397-08002B2CF9AE}" pid="3" name="KSOProductBuildVer">
    <vt:lpwstr>2052-12.1.0.23125</vt:lpwstr>
  </property>
  <property fmtid="{D5CDD505-2E9C-101B-9397-08002B2CF9AE}" pid="4" name="ICV">
    <vt:lpwstr>DB7B562A189647D29561EB171BBD91C9_13</vt:lpwstr>
  </property>
</Properties>
</file>