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AF7C91">
      <w:pPr>
        <w:jc w:val="center"/>
        <w:rPr>
          <w:rFonts w:hint="eastAsia" w:ascii="宋体" w:hAnsi="宋体" w:eastAsia="宋体"/>
          <w:szCs w:val="21"/>
        </w:rPr>
      </w:pPr>
      <w:r>
        <w:rPr>
          <w:rFonts w:hint="eastAsia" w:ascii="宋体" w:hAnsi="宋体" w:eastAsia="宋体"/>
          <w:szCs w:val="21"/>
        </w:rPr>
        <w:t>期货模拟交易大赛实战--能力分析报告</w:t>
      </w:r>
    </w:p>
    <w:p w14:paraId="4B4AA682">
      <w:pPr>
        <w:rPr>
          <w:rFonts w:hint="eastAsia" w:ascii="宋体" w:hAnsi="宋体" w:eastAsia="宋体"/>
          <w:szCs w:val="21"/>
          <w:lang w:eastAsia="zh-CN"/>
        </w:rPr>
      </w:pPr>
      <w:r>
        <w:rPr>
          <w:rFonts w:hint="eastAsia" w:ascii="宋体" w:hAnsi="宋体" w:eastAsia="宋体"/>
          <w:szCs w:val="21"/>
        </w:rPr>
        <w:t>学号：233061301128</w:t>
      </w:r>
    </w:p>
    <w:p w14:paraId="09E2AF48">
      <w:pPr>
        <w:rPr>
          <w:rFonts w:hint="eastAsia" w:ascii="宋体" w:hAnsi="宋体" w:eastAsia="宋体"/>
          <w:szCs w:val="21"/>
        </w:rPr>
      </w:pPr>
      <w:r>
        <w:rPr>
          <w:rFonts w:hint="eastAsia" w:ascii="宋体" w:hAnsi="宋体" w:eastAsia="宋体"/>
          <w:szCs w:val="21"/>
        </w:rPr>
        <w:t>姓名：田悦</w:t>
      </w:r>
    </w:p>
    <w:p w14:paraId="586B1FC4">
      <w:pPr>
        <w:rPr>
          <w:rFonts w:hint="eastAsia" w:ascii="宋体" w:hAnsi="宋体" w:eastAsia="宋体"/>
          <w:szCs w:val="21"/>
        </w:rPr>
      </w:pPr>
      <w:r>
        <w:rPr>
          <w:rFonts w:hint="eastAsia" w:ascii="宋体" w:hAnsi="宋体" w:eastAsia="宋体"/>
          <w:szCs w:val="21"/>
        </w:rPr>
        <w:t>总分：7</w:t>
      </w:r>
      <w:r>
        <w:rPr>
          <w:rFonts w:hint="eastAsia" w:ascii="宋体" w:hAnsi="宋体" w:eastAsia="宋体"/>
          <w:szCs w:val="21"/>
          <w:lang w:val="en-US" w:eastAsia="zh-CN"/>
        </w:rPr>
        <w:t>0</w:t>
      </w:r>
      <w:r>
        <w:rPr>
          <w:rFonts w:hint="eastAsia" w:ascii="宋体" w:hAnsi="宋体" w:eastAsia="宋体"/>
          <w:szCs w:val="21"/>
        </w:rPr>
        <w:t>（详见项目评分标准）</w:t>
      </w:r>
    </w:p>
    <w:p w14:paraId="20AE8E67">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16640724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6399C3FB">
      <w:pPr>
        <w:rPr>
          <w:rFonts w:hint="eastAsia" w:ascii="宋体" w:hAnsi="宋体" w:eastAsia="宋体"/>
          <w:szCs w:val="21"/>
        </w:rPr>
      </w:pPr>
      <w:r>
        <w:rPr>
          <w:rFonts w:hint="eastAsia" w:ascii="宋体" w:hAnsi="宋体" w:eastAsia="宋体"/>
          <w:szCs w:val="21"/>
        </w:rPr>
        <w:t>从整体来看：</w:t>
      </w:r>
    </w:p>
    <w:p w14:paraId="1D0067BA">
      <w:pPr>
        <w:rPr>
          <w:rFonts w:hint="eastAsia" w:ascii="宋体" w:hAnsi="宋体" w:eastAsia="宋体"/>
          <w:szCs w:val="21"/>
        </w:rPr>
      </w:pPr>
      <w:r>
        <w:rPr>
          <w:rFonts w:ascii="宋体" w:hAnsi="宋体" w:eastAsia="宋体"/>
          <w:szCs w:val="21"/>
        </w:rPr>
        <w:t>优势</w:t>
      </w:r>
    </w:p>
    <w:p w14:paraId="79488E63">
      <w:pPr>
        <w:ind w:firstLine="420"/>
        <w:rPr>
          <w:rFonts w:hint="eastAsia" w:ascii="宋体" w:hAnsi="宋体" w:eastAsia="宋体"/>
          <w:szCs w:val="21"/>
        </w:rPr>
      </w:pPr>
      <w:r>
        <w:rPr>
          <w:rFonts w:ascii="宋体" w:hAnsi="宋体" w:eastAsia="宋体"/>
          <w:szCs w:val="21"/>
        </w:rPr>
        <w:t>其优势体现在内在信心与策略韧性上：学生自评与互评在方案定制、工具实操及调整优化方面显著高于学校与企业评分，表明其对自身的策略灵活性和学习适应力有较强信心，这种主观能动性是重要的成长基础。</w:t>
      </w:r>
    </w:p>
    <w:p w14:paraId="697E1E14">
      <w:pPr>
        <w:rPr>
          <w:rFonts w:hint="eastAsia" w:ascii="宋体" w:hAnsi="宋体" w:eastAsia="宋体"/>
          <w:szCs w:val="21"/>
        </w:rPr>
      </w:pPr>
      <w:r>
        <w:rPr>
          <w:rFonts w:ascii="宋体" w:hAnsi="宋体" w:eastAsia="宋体"/>
          <w:szCs w:val="21"/>
        </w:rPr>
        <w:t>短板</w:t>
      </w:r>
    </w:p>
    <w:p w14:paraId="2238FB2A">
      <w:pPr>
        <w:ind w:firstLine="420"/>
        <w:rPr>
          <w:rFonts w:hint="eastAsia" w:ascii="宋体" w:hAnsi="宋体" w:eastAsia="宋体"/>
          <w:szCs w:val="21"/>
        </w:rPr>
      </w:pPr>
      <w:r>
        <w:rPr>
          <w:rFonts w:ascii="宋体" w:hAnsi="宋体" w:eastAsia="宋体"/>
          <w:szCs w:val="21"/>
        </w:rPr>
        <w:t>客观评估则暴露出其核心短板在于基础操作与实战转化：系统操作和工具实操得分严重偏低，说明其对交易平台的基础功能掌握薄弱，操作熟练度不足，这直接制约了其分析能力与风控意识向实战效果的有效转化。企业评分普遍低于学校评分，进一步印证其在将理论知识转化为符合市场要求的实战输出方面存在明显脱节。因此，该生的当务之急是放下对自身策略能力的过度乐观，沉潜于夯实系统操作基本功，通过高频率、标准化的模拟训练弥补操作短板，方能将内在潜力转化为稳定的实战竞争力。</w:t>
      </w:r>
    </w:p>
    <w:p w14:paraId="7F083D77">
      <w:pPr>
        <w:rPr>
          <w:rFonts w:hint="eastAsia" w:ascii="宋体" w:hAnsi="宋体" w:eastAsia="宋体"/>
          <w:szCs w:val="21"/>
        </w:rPr>
      </w:pPr>
      <w:r>
        <w:rPr>
          <w:rFonts w:hint="eastAsia" w:ascii="宋体" w:hAnsi="宋体" w:eastAsia="宋体"/>
          <w:szCs w:val="21"/>
        </w:rPr>
        <w:t>具体来看：</w:t>
      </w:r>
    </w:p>
    <w:p w14:paraId="7A2AFBCF">
      <w:pPr>
        <w:rPr>
          <w:rFonts w:hint="eastAsia" w:ascii="宋体" w:hAnsi="宋体" w:eastAsia="宋体"/>
          <w:szCs w:val="21"/>
        </w:rPr>
      </w:pPr>
      <w:r>
        <w:rPr>
          <w:rFonts w:hint="eastAsia" w:ascii="宋体" w:hAnsi="宋体" w:eastAsia="宋体"/>
          <w:szCs w:val="21"/>
        </w:rPr>
        <w:t>系统操作能力</w:t>
      </w:r>
    </w:p>
    <w:p w14:paraId="2D7492DD">
      <w:pPr>
        <w:ind w:firstLine="420"/>
        <w:rPr>
          <w:rFonts w:hint="eastAsia" w:ascii="宋体" w:hAnsi="宋体" w:eastAsia="宋体"/>
          <w:szCs w:val="21"/>
        </w:rPr>
      </w:pPr>
      <w:r>
        <w:rPr>
          <w:rFonts w:ascii="宋体" w:hAnsi="宋体" w:eastAsia="宋体"/>
          <w:szCs w:val="21"/>
        </w:rPr>
        <w:t>在系统操作能力上，学校给出了</w:t>
      </w:r>
      <w:r>
        <w:rPr>
          <w:rFonts w:hint="eastAsia" w:ascii="宋体" w:hAnsi="宋体" w:eastAsia="宋体"/>
          <w:szCs w:val="21"/>
        </w:rPr>
        <w:t>46</w:t>
      </w:r>
      <w:r>
        <w:rPr>
          <w:rFonts w:ascii="宋体" w:hAnsi="宋体" w:eastAsia="宋体"/>
          <w:szCs w:val="21"/>
        </w:rPr>
        <w:t>分的评价。这意味着</w:t>
      </w:r>
      <w:r>
        <w:rPr>
          <w:rFonts w:hint="eastAsia" w:ascii="宋体" w:hAnsi="宋体" w:eastAsia="宋体"/>
          <w:szCs w:val="21"/>
        </w:rPr>
        <w:t>无法按时完成操作任务，正确率低于65%，操作生疏，频繁出现错误，严重影响任务进展。</w:t>
      </w:r>
    </w:p>
    <w:p w14:paraId="6B9ECAED">
      <w:pPr>
        <w:ind w:firstLine="420"/>
        <w:rPr>
          <w:rFonts w:hint="eastAsia" w:ascii="宋体" w:hAnsi="宋体" w:eastAsia="宋体"/>
          <w:szCs w:val="21"/>
        </w:rPr>
      </w:pPr>
      <w:r>
        <w:rPr>
          <w:rFonts w:ascii="宋体" w:hAnsi="宋体" w:eastAsia="宋体"/>
          <w:szCs w:val="21"/>
        </w:rPr>
        <w:t>由此可见，学生对期货模拟交易平台的基本操作掌握</w:t>
      </w:r>
      <w:r>
        <w:rPr>
          <w:rFonts w:hint="eastAsia" w:ascii="宋体" w:hAnsi="宋体" w:eastAsia="宋体"/>
          <w:szCs w:val="21"/>
        </w:rPr>
        <w:t>较差</w:t>
      </w:r>
      <w:r>
        <w:rPr>
          <w:rFonts w:ascii="宋体" w:hAnsi="宋体" w:eastAsia="宋体"/>
          <w:szCs w:val="21"/>
        </w:rPr>
        <w:t>。</w:t>
      </w:r>
      <w:r>
        <w:rPr>
          <w:rFonts w:hint="eastAsia" w:ascii="宋体" w:hAnsi="宋体" w:eastAsia="宋体"/>
          <w:szCs w:val="21"/>
        </w:rPr>
        <w:t>因此</w:t>
      </w:r>
      <w:r>
        <w:rPr>
          <w:rFonts w:ascii="宋体" w:hAnsi="宋体" w:eastAsia="宋体"/>
          <w:szCs w:val="21"/>
        </w:rPr>
        <w:t>，在操作熟练度以及对系统功能的运用方面，仍存在较大的提升空间。具体来说，面对复杂金融业务操作任务时，学生的准确率还有待进一步提高；当遇到突发问题时，其应对能力也亟需加强。</w:t>
      </w:r>
    </w:p>
    <w:p w14:paraId="45DBD48B">
      <w:pPr>
        <w:rPr>
          <w:rFonts w:hint="eastAsia" w:ascii="宋体" w:hAnsi="宋体" w:eastAsia="宋体"/>
          <w:szCs w:val="21"/>
        </w:rPr>
      </w:pPr>
    </w:p>
    <w:p w14:paraId="1D75A872">
      <w:pPr>
        <w:rPr>
          <w:rFonts w:hint="eastAsia" w:ascii="宋体" w:hAnsi="宋体" w:eastAsia="宋体"/>
          <w:szCs w:val="21"/>
        </w:rPr>
      </w:pPr>
      <w:r>
        <w:rPr>
          <w:rFonts w:hint="eastAsia" w:ascii="宋体" w:hAnsi="宋体" w:eastAsia="宋体"/>
          <w:szCs w:val="21"/>
        </w:rPr>
        <w:t>数据分析能力</w:t>
      </w:r>
    </w:p>
    <w:p w14:paraId="45CBEFFC">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39501767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3BC276D5">
      <w:pPr>
        <w:ind w:firstLine="420"/>
        <w:rPr>
          <w:rFonts w:hint="eastAsia" w:ascii="宋体" w:hAnsi="宋体" w:eastAsia="宋体"/>
          <w:szCs w:val="21"/>
        </w:rPr>
      </w:pPr>
      <w:r>
        <w:rPr>
          <w:rFonts w:hint="eastAsia" w:ascii="宋体" w:hAnsi="宋体" w:eastAsia="宋体"/>
          <w:szCs w:val="21"/>
        </w:rPr>
        <w:t>数据分析能力学校给出80分，企业给出62分。</w:t>
      </w:r>
      <w:r>
        <w:rPr>
          <w:rFonts w:ascii="宋体" w:hAnsi="宋体" w:eastAsia="宋体"/>
          <w:szCs w:val="21"/>
        </w:rPr>
        <w:t>学校方面认为，学生所提交的报告在分析方法上基本合理，数据分析较为常规，结论总体可信，能够反映数据的基本特征；而企业方则指出，该</w:t>
      </w:r>
      <w:r>
        <w:rPr>
          <w:rFonts w:hint="eastAsia" w:ascii="宋体" w:hAnsi="宋体" w:eastAsia="宋体"/>
          <w:szCs w:val="21"/>
        </w:rPr>
        <w:t>数据分析结果对企业业务指导价值较小，对企业决策的影响不大。</w:t>
      </w:r>
      <w:r>
        <w:rPr>
          <w:rFonts w:ascii="宋体" w:hAnsi="宋体" w:eastAsia="宋体"/>
          <w:szCs w:val="21"/>
        </w:rPr>
        <w:t>这表明学生已具备一定的数据分析能力，能够运用恰当的方法处理数据</w:t>
      </w:r>
      <w:r>
        <w:rPr>
          <w:rFonts w:hint="eastAsia" w:ascii="宋体" w:hAnsi="宋体" w:eastAsia="宋体"/>
          <w:szCs w:val="21"/>
        </w:rPr>
        <w:t>，但</w:t>
      </w:r>
      <w:r>
        <w:rPr>
          <w:rFonts w:ascii="宋体" w:hAnsi="宋体" w:eastAsia="宋体"/>
          <w:szCs w:val="21"/>
        </w:rPr>
        <w:t>实用价值</w:t>
      </w:r>
      <w:r>
        <w:rPr>
          <w:rFonts w:hint="eastAsia" w:ascii="宋体" w:hAnsi="宋体" w:eastAsia="宋体"/>
          <w:szCs w:val="21"/>
        </w:rPr>
        <w:t>较差</w:t>
      </w:r>
      <w:r>
        <w:rPr>
          <w:rFonts w:ascii="宋体" w:hAnsi="宋体" w:eastAsia="宋体"/>
          <w:szCs w:val="21"/>
        </w:rPr>
        <w:t>。</w:t>
      </w:r>
      <w:r>
        <w:rPr>
          <w:rFonts w:hint="eastAsia" w:ascii="宋体" w:hAnsi="宋体" w:eastAsia="宋体"/>
          <w:szCs w:val="21"/>
        </w:rPr>
        <w:t>因此</w:t>
      </w:r>
      <w:r>
        <w:rPr>
          <w:rFonts w:ascii="宋体" w:hAnsi="宋体" w:eastAsia="宋体"/>
          <w:szCs w:val="21"/>
        </w:rPr>
        <w:t>，在分析的深度</w:t>
      </w:r>
      <w:r>
        <w:rPr>
          <w:rFonts w:hint="eastAsia" w:ascii="宋体" w:hAnsi="宋体" w:eastAsia="宋体"/>
          <w:szCs w:val="21"/>
        </w:rPr>
        <w:t>、实用性和</w:t>
      </w:r>
      <w:r>
        <w:rPr>
          <w:rFonts w:ascii="宋体" w:hAnsi="宋体" w:eastAsia="宋体"/>
          <w:szCs w:val="21"/>
        </w:rPr>
        <w:t>创新性方面仍有提升空间，可进一步加强探索，以更</w:t>
      </w:r>
      <w:r>
        <w:rPr>
          <w:rFonts w:hint="eastAsia" w:ascii="宋体" w:hAnsi="宋体" w:eastAsia="宋体"/>
          <w:szCs w:val="21"/>
        </w:rPr>
        <w:t>好</w:t>
      </w:r>
      <w:r>
        <w:rPr>
          <w:rFonts w:ascii="宋体" w:hAnsi="宋体" w:eastAsia="宋体"/>
          <w:szCs w:val="21"/>
        </w:rPr>
        <w:t>地满足不同</w:t>
      </w:r>
      <w:r>
        <w:rPr>
          <w:rFonts w:hint="eastAsia" w:ascii="宋体" w:hAnsi="宋体" w:eastAsia="宋体"/>
          <w:szCs w:val="21"/>
        </w:rPr>
        <w:t>企业</w:t>
      </w:r>
      <w:r>
        <w:rPr>
          <w:rFonts w:ascii="宋体" w:hAnsi="宋体" w:eastAsia="宋体"/>
          <w:szCs w:val="21"/>
        </w:rPr>
        <w:t>的需求。</w:t>
      </w:r>
    </w:p>
    <w:p w14:paraId="2E558C84">
      <w:pPr>
        <w:ind w:firstLine="420"/>
        <w:rPr>
          <w:rFonts w:hint="eastAsia" w:ascii="宋体" w:hAnsi="宋体" w:eastAsia="宋体"/>
          <w:szCs w:val="21"/>
        </w:rPr>
      </w:pPr>
    </w:p>
    <w:p w14:paraId="22FC7434">
      <w:pPr>
        <w:rPr>
          <w:rFonts w:hint="eastAsia" w:ascii="宋体" w:hAnsi="宋体" w:eastAsia="宋体"/>
          <w:szCs w:val="21"/>
        </w:rPr>
      </w:pPr>
      <w:r>
        <w:rPr>
          <w:rFonts w:hint="eastAsia" w:ascii="宋体" w:hAnsi="宋体" w:eastAsia="宋体"/>
          <w:szCs w:val="21"/>
        </w:rPr>
        <w:t>风险控制能力</w:t>
      </w:r>
    </w:p>
    <w:p w14:paraId="4A02B6F9">
      <w:pPr>
        <w:ind w:firstLine="420"/>
        <w:rPr>
          <w:rFonts w:hint="eastAsia" w:ascii="宋体" w:hAnsi="宋体" w:eastAsia="宋体"/>
          <w:szCs w:val="21"/>
        </w:rPr>
      </w:pPr>
      <w:r>
        <w:rPr>
          <w:rFonts w:ascii="宋体" w:hAnsi="宋体" w:eastAsia="宋体"/>
          <w:szCs w:val="21"/>
        </w:rPr>
        <w:t>风险控制能力学校评分为</w:t>
      </w:r>
      <w:r>
        <w:rPr>
          <w:rFonts w:hint="eastAsia" w:ascii="宋体" w:hAnsi="宋体" w:eastAsia="宋体"/>
          <w:szCs w:val="21"/>
        </w:rPr>
        <w:t>75</w:t>
      </w:r>
      <w:r>
        <w:rPr>
          <w:rFonts w:ascii="宋体" w:hAnsi="宋体" w:eastAsia="宋体"/>
          <w:szCs w:val="21"/>
        </w:rPr>
        <w:t>分，说明</w:t>
      </w:r>
      <w:r>
        <w:rPr>
          <w:rFonts w:hint="eastAsia" w:ascii="宋体" w:hAnsi="宋体" w:eastAsia="宋体"/>
          <w:szCs w:val="21"/>
        </w:rPr>
        <w:t>学生能在一定时间内采取控制措施，及时率和准确率均在75%-84%之间，能对风险进行一定程度的控制</w:t>
      </w:r>
      <w:r>
        <w:rPr>
          <w:rFonts w:ascii="宋体" w:hAnsi="宋体" w:eastAsia="宋体"/>
          <w:szCs w:val="21"/>
        </w:rPr>
        <w:t>。</w:t>
      </w:r>
      <w:r>
        <w:rPr>
          <w:rFonts w:hint="eastAsia" w:ascii="宋体" w:hAnsi="宋体" w:eastAsia="宋体"/>
          <w:szCs w:val="21"/>
        </w:rPr>
        <w:t>说明</w:t>
      </w:r>
      <w:r>
        <w:rPr>
          <w:rFonts w:ascii="宋体" w:hAnsi="宋体" w:eastAsia="宋体"/>
          <w:szCs w:val="21"/>
        </w:rPr>
        <w:t>该学生已建立起初步的风险响应机制，能够在风险事件发生后于合理时间内启动应对程序，其响应及时性与措施准确性均维持在中等偏上水平，表明已具备基础的风险识别与处置能力。然而，当前响应效率尚未达到高效或精准级别，整体风险控制效果仍停留在有限范围内，存在一定的优化空间。若需进一步提升风险管控质量，应在响应速度与决策精度上实现双向突破。</w:t>
      </w:r>
    </w:p>
    <w:p w14:paraId="65323E41">
      <w:pPr>
        <w:rPr>
          <w:rFonts w:hint="eastAsia" w:ascii="宋体" w:hAnsi="宋体" w:eastAsia="宋体"/>
          <w:szCs w:val="21"/>
        </w:rPr>
      </w:pPr>
      <w:r>
        <w:rPr>
          <w:rFonts w:hint="eastAsia" w:ascii="宋体" w:hAnsi="宋体" w:eastAsia="宋体"/>
          <w:szCs w:val="21"/>
        </w:rPr>
        <w:t>方案定制能力</w:t>
      </w:r>
    </w:p>
    <w:p w14:paraId="538B2E9C">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823806623"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55609EB">
      <w:pPr>
        <w:ind w:firstLine="420"/>
        <w:rPr>
          <w:rFonts w:hint="eastAsia" w:ascii="宋体" w:hAnsi="宋体" w:eastAsia="宋体"/>
          <w:szCs w:val="21"/>
        </w:rPr>
      </w:pPr>
      <w:r>
        <w:rPr>
          <w:rFonts w:ascii="宋体" w:hAnsi="宋体" w:eastAsia="宋体"/>
          <w:szCs w:val="21"/>
        </w:rPr>
        <w:t>方案定制能力方面，学校评分为</w:t>
      </w:r>
      <w:r>
        <w:rPr>
          <w:rFonts w:hint="eastAsia" w:ascii="宋体" w:hAnsi="宋体" w:eastAsia="宋体"/>
          <w:szCs w:val="21"/>
        </w:rPr>
        <w:t>68</w:t>
      </w:r>
      <w:r>
        <w:rPr>
          <w:rFonts w:ascii="宋体" w:hAnsi="宋体" w:eastAsia="宋体"/>
          <w:szCs w:val="21"/>
        </w:rPr>
        <w:t>分，企业评分为</w:t>
      </w:r>
      <w:r>
        <w:rPr>
          <w:rFonts w:hint="eastAsia" w:ascii="宋体" w:hAnsi="宋体" w:eastAsia="宋体"/>
          <w:szCs w:val="21"/>
        </w:rPr>
        <w:t>72</w:t>
      </w:r>
      <w:r>
        <w:rPr>
          <w:rFonts w:ascii="宋体" w:hAnsi="宋体" w:eastAsia="宋体"/>
          <w:szCs w:val="21"/>
        </w:rPr>
        <w:t>分，学生互评得分为</w:t>
      </w:r>
      <w:r>
        <w:rPr>
          <w:rFonts w:hint="eastAsia" w:ascii="宋体" w:hAnsi="宋体" w:eastAsia="宋体"/>
          <w:szCs w:val="21"/>
        </w:rPr>
        <w:t>90</w:t>
      </w:r>
      <w:r>
        <w:rPr>
          <w:rFonts w:ascii="宋体" w:hAnsi="宋体" w:eastAsia="宋体"/>
          <w:szCs w:val="21"/>
        </w:rPr>
        <w:t>分。学校方面认为</w:t>
      </w:r>
      <w:r>
        <w:rPr>
          <w:rFonts w:hint="eastAsia" w:ascii="宋体" w:hAnsi="宋体" w:eastAsia="宋体"/>
          <w:szCs w:val="21"/>
        </w:rPr>
        <w:t>方案有一定缺陷，科学性和可行性不足，只能部分满足客户需求</w:t>
      </w:r>
      <w:r>
        <w:rPr>
          <w:rFonts w:ascii="宋体" w:hAnsi="宋体" w:eastAsia="宋体"/>
          <w:szCs w:val="21"/>
        </w:rPr>
        <w:t>；企业评价指出</w:t>
      </w:r>
      <w:r>
        <w:rPr>
          <w:rFonts w:hint="eastAsia" w:ascii="宋体" w:hAnsi="宋体" w:eastAsia="宋体"/>
          <w:szCs w:val="21"/>
        </w:rPr>
        <w:t>方案与客户反馈匹配度一般，能满足客户的部分需求，客户评价一般</w:t>
      </w:r>
      <w:r>
        <w:rPr>
          <w:rFonts w:ascii="宋体" w:hAnsi="宋体" w:eastAsia="宋体"/>
          <w:szCs w:val="21"/>
        </w:rPr>
        <w:t>；学生互评则反映</w:t>
      </w:r>
      <w:r>
        <w:rPr>
          <w:rFonts w:hint="eastAsia" w:ascii="宋体" w:hAnsi="宋体" w:eastAsia="宋体"/>
          <w:szCs w:val="21"/>
        </w:rPr>
        <w:t>方案具有很强的创新性，针对客户的特殊需求设计，实用性高，能有效解决客户的实际问题，对其他同学有很好的借鉴作用</w:t>
      </w:r>
      <w:r>
        <w:rPr>
          <w:rFonts w:ascii="宋体" w:hAnsi="宋体" w:eastAsia="宋体"/>
          <w:szCs w:val="21"/>
        </w:rPr>
        <w:t>。该生已掌握方案定制的基本逻辑，能搭建结构完整、逻辑自洽的可行框架。然而，方案的设计往往停留在通用层面，在科学性、创新性及与客户需求的深度契合方面尚有不足。后续需重点强化对客户痛点的精准锚定与差异化策略的构建能力，以实现从“可用”到“卓越”的跨越。</w:t>
      </w:r>
    </w:p>
    <w:p w14:paraId="50C72D4C">
      <w:pPr>
        <w:rPr>
          <w:rFonts w:hint="eastAsia" w:ascii="宋体" w:hAnsi="宋体" w:eastAsia="宋体"/>
          <w:szCs w:val="21"/>
        </w:rPr>
      </w:pPr>
      <w:r>
        <w:rPr>
          <w:rFonts w:hint="eastAsia" w:ascii="宋体" w:hAnsi="宋体" w:eastAsia="宋体"/>
          <w:szCs w:val="21"/>
        </w:rPr>
        <w:t>工具实操能力</w:t>
      </w:r>
    </w:p>
    <w:p w14:paraId="0421ADE8">
      <w:pPr>
        <w:ind w:firstLine="420"/>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21658850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1942F9">
      <w:pPr>
        <w:ind w:firstLine="420"/>
        <w:rPr>
          <w:rFonts w:hint="eastAsia" w:ascii="宋体" w:hAnsi="宋体" w:eastAsia="宋体"/>
          <w:szCs w:val="21"/>
        </w:rPr>
      </w:pPr>
      <w:r>
        <w:rPr>
          <w:rFonts w:ascii="宋体" w:hAnsi="宋体" w:eastAsia="宋体"/>
          <w:szCs w:val="21"/>
        </w:rPr>
        <w:t>在工具实操能力方面，学校评分为</w:t>
      </w:r>
      <w:r>
        <w:rPr>
          <w:rFonts w:hint="eastAsia" w:ascii="宋体" w:hAnsi="宋体" w:eastAsia="宋体"/>
          <w:szCs w:val="21"/>
        </w:rPr>
        <w:t>45</w:t>
      </w:r>
      <w:r>
        <w:rPr>
          <w:rFonts w:ascii="宋体" w:hAnsi="宋体" w:eastAsia="宋体"/>
          <w:szCs w:val="21"/>
        </w:rPr>
        <w:t>分，学生互评则为7</w:t>
      </w:r>
      <w:r>
        <w:rPr>
          <w:rFonts w:hint="eastAsia" w:ascii="宋体" w:hAnsi="宋体" w:eastAsia="宋体"/>
          <w:szCs w:val="21"/>
        </w:rPr>
        <w:t>8</w:t>
      </w:r>
      <w:r>
        <w:rPr>
          <w:rFonts w:ascii="宋体" w:hAnsi="宋体" w:eastAsia="宋体"/>
          <w:szCs w:val="21"/>
        </w:rPr>
        <w:t>分。学校评价显示，</w:t>
      </w:r>
      <w:r>
        <w:rPr>
          <w:rFonts w:hint="eastAsia" w:ascii="宋体" w:hAnsi="宋体" w:eastAsia="宋体"/>
          <w:szCs w:val="21"/>
        </w:rPr>
        <w:t>学生的无错误操作次数低于规定次数的65%，操作生疏，频繁出现错误，影响任务进度</w:t>
      </w:r>
      <w:r>
        <w:rPr>
          <w:rFonts w:ascii="宋体" w:hAnsi="宋体" w:eastAsia="宋体"/>
          <w:szCs w:val="21"/>
        </w:rPr>
        <w:t>。而学生互评可能更侧重于实际应用过程中解决问题的能力。这表明学生在工具操作上仍处于“知其然”而非“知其所以然”的阶段，其操作流程的规范性与稳定性有待加强，具体表现为高频次的操作失误、对复杂功能的回避使用以及在压力环境下对工具的运用僵化。</w:t>
      </w:r>
    </w:p>
    <w:p w14:paraId="332B0BF2">
      <w:pPr>
        <w:rPr>
          <w:rFonts w:hint="eastAsia" w:ascii="宋体" w:hAnsi="宋体" w:eastAsia="宋体"/>
          <w:szCs w:val="21"/>
        </w:rPr>
      </w:pPr>
      <w:r>
        <w:rPr>
          <w:rFonts w:hint="eastAsia" w:ascii="宋体" w:hAnsi="宋体" w:eastAsia="宋体"/>
          <w:szCs w:val="21"/>
        </w:rPr>
        <w:t>调整优化能力</w:t>
      </w:r>
    </w:p>
    <w:p w14:paraId="15761351">
      <w:pPr>
        <w:jc w:val="center"/>
        <w:rPr>
          <w:rFonts w:hint="eastAsia" w:ascii="宋体" w:hAnsi="宋体" w:eastAsia="宋体"/>
          <w:szCs w:val="21"/>
        </w:rPr>
      </w:pPr>
      <w:r>
        <w:rPr>
          <w:rFonts w:ascii="宋体" w:hAnsi="宋体" w:eastAsia="宋体"/>
          <w:szCs w:val="21"/>
        </w:rPr>
        <w:drawing>
          <wp:inline distT="0" distB="0" distL="0" distR="0">
            <wp:extent cx="4826000" cy="2746375"/>
            <wp:effectExtent l="0" t="0" r="12700" b="15875"/>
            <wp:docPr id="132058203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63E220D">
      <w:pPr>
        <w:ind w:firstLine="420"/>
        <w:rPr>
          <w:rFonts w:hint="eastAsia" w:ascii="宋体" w:hAnsi="宋体" w:eastAsia="宋体"/>
          <w:szCs w:val="21"/>
        </w:rPr>
      </w:pPr>
      <w:r>
        <w:rPr>
          <w:rFonts w:hint="eastAsia" w:ascii="宋体" w:hAnsi="宋体" w:eastAsia="宋体"/>
          <w:szCs w:val="21"/>
        </w:rPr>
        <w:t>调整优化能力上，学校评分为65分，认为其目标达成率处于65%-74%区间，优化频率偏低，对项目整体提升作用有限；学生自评为70分，承认自身主动性一般，但能完成基础优化任务；而学生互评则给出85分，普遍认可其在优化过程中展现的合理性与改进效果，仅指出创新性尚有不足。综合来看，该生已具备良好的优化思维基础，能够提出结构合理、逻辑清晰的改进方案，并取得一定实效，因而获得团队多数成员的认可；然而，在优化策略的主动性、频次及创新突破层面仍存在提升空间，需进一步强化持续迭代意识与差异化优化能力。</w:t>
      </w:r>
    </w:p>
    <w:p w14:paraId="55227F2F">
      <w:pPr>
        <w:ind w:firstLine="420"/>
        <w:rPr>
          <w:rFonts w:hint="eastAsia" w:ascii="宋体" w:hAnsi="宋体" w:eastAsia="宋体"/>
          <w:szCs w:val="21"/>
        </w:rPr>
      </w:pPr>
      <w:r>
        <w:rPr>
          <w:rFonts w:hint="eastAsia" w:ascii="宋体" w:hAnsi="宋体" w:eastAsia="宋体"/>
          <w:szCs w:val="21"/>
        </w:rPr>
        <w:t>提升建议：</w:t>
      </w:r>
    </w:p>
    <w:p w14:paraId="50E57EA6">
      <w:pPr>
        <w:ind w:firstLine="420"/>
        <w:rPr>
          <w:rFonts w:hint="eastAsia" w:ascii="宋体" w:hAnsi="宋体" w:eastAsia="宋体"/>
          <w:szCs w:val="21"/>
        </w:rPr>
      </w:pPr>
      <w:r>
        <w:rPr>
          <w:rFonts w:hint="eastAsia" w:ascii="宋体" w:hAnsi="宋体" w:eastAsia="宋体"/>
          <w:szCs w:val="21"/>
        </w:rPr>
        <w:t>该学生展现出良好的策略思维与学习潜力，尤其在方案调整和工具应用上有较强的自我驱动力，然而其能力结构与实战要求之间存在明显错位。当前首要任务是夯实操作基础，打通学用闭环。必须正视系统操作与工具实操的薄弱环节，这是制约整体表现的最大瓶颈。建议立即开展高频次的平台全功能模块化训练，从订单管理、数据提取到风险参数设置，每个环节都需达到快速精准的肌肉记忆水平，唯有扎实的操作根基才能支撑起分析风控等上层能力。</w:t>
      </w:r>
    </w:p>
    <w:p w14:paraId="07BB048C">
      <w:pPr>
        <w:ind w:firstLine="420"/>
        <w:rPr>
          <w:rFonts w:hint="eastAsia" w:ascii="宋体" w:hAnsi="宋体" w:eastAsia="宋体"/>
          <w:szCs w:val="21"/>
        </w:rPr>
      </w:pPr>
      <w:r>
        <w:rPr>
          <w:rFonts w:hint="eastAsia" w:ascii="宋体" w:hAnsi="宋体" w:eastAsia="宋体"/>
          <w:szCs w:val="21"/>
        </w:rPr>
        <w:t>在此基础上，需着力强化实战转化与市场思维。企业评分普遍偏低反映出其知识应用与市场真实逻辑的脱节。应有意识地将数据分析与风险控制能力置于动态市场环境中进行压力测试，例如参与限时决策沙盘、复盘历史极端行情案例，重点训练在信息不完备、时间紧迫下的快速响应能力，从而弥合理论认知与实战效能之间的差距。</w:t>
      </w:r>
    </w:p>
    <w:p w14:paraId="21CB11AE">
      <w:pPr>
        <w:ind w:firstLine="420"/>
        <w:rPr>
          <w:rFonts w:hint="eastAsia" w:ascii="宋体" w:hAnsi="宋体" w:eastAsia="宋体"/>
          <w:szCs w:val="21"/>
        </w:rPr>
      </w:pPr>
      <w:r>
        <w:rPr>
          <w:rFonts w:hint="eastAsia" w:ascii="宋体" w:hAnsi="宋体" w:eastAsia="宋体"/>
          <w:szCs w:val="21"/>
        </w:rPr>
        <w:t>最后，需优化自我评估，保持开放心态。当前自评互评与客观成绩的差异提示需建立更精准的自我认知框架。建议在每次模拟操作后撰写详细的复盘日志，对比执行结果与初始策略的偏差，并主动寻求导师或行业人士的针对性反馈，将主观的“感觉良好”转化为客观的“改进清单”，从而在自我迭代中实现全面而均衡的竞争力提升。</w:t>
      </w:r>
      <w:bookmarkStart w:id="0" w:name="_GoBack"/>
      <w:bookmarkEnd w:id="0"/>
    </w:p>
    <w:p w14:paraId="74CE4415">
      <w:pPr>
        <w:rPr>
          <w:rFonts w:hint="eastAsia" w:ascii="宋体" w:hAnsi="宋体" w:eastAsia="宋体"/>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108"/>
    <w:rsid w:val="00004E18"/>
    <w:rsid w:val="000D55CE"/>
    <w:rsid w:val="00161108"/>
    <w:rsid w:val="00274CAD"/>
    <w:rsid w:val="003861F7"/>
    <w:rsid w:val="003C1AC2"/>
    <w:rsid w:val="004A24BA"/>
    <w:rsid w:val="00510575"/>
    <w:rsid w:val="005F19AA"/>
    <w:rsid w:val="0064531A"/>
    <w:rsid w:val="00743308"/>
    <w:rsid w:val="00782F03"/>
    <w:rsid w:val="00816E86"/>
    <w:rsid w:val="00877967"/>
    <w:rsid w:val="009574C4"/>
    <w:rsid w:val="0096146D"/>
    <w:rsid w:val="00964AF6"/>
    <w:rsid w:val="00A8589E"/>
    <w:rsid w:val="00AF16F7"/>
    <w:rsid w:val="00B5523B"/>
    <w:rsid w:val="00BD230F"/>
    <w:rsid w:val="00C326B6"/>
    <w:rsid w:val="00E538E1"/>
    <w:rsid w:val="00E9152E"/>
    <w:rsid w:val="00F458C5"/>
    <w:rsid w:val="183539C6"/>
    <w:rsid w:val="2D6D2CB0"/>
    <w:rsid w:val="402B0D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2"/>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semiHidden/>
    <w:unhideWhenUsed/>
    <w:qFormat/>
    <w:uiPriority w:val="1"/>
  </w:style>
  <w:style w:type="table" w:default="1" w:styleId="15">
    <w:name w:val="Normal Table"/>
    <w:semiHidden/>
    <w:unhideWhenUsed/>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jc w:val="left"/>
    </w:pPr>
    <w:rPr>
      <w:sz w:val="18"/>
      <w:szCs w:val="18"/>
    </w:rPr>
  </w:style>
  <w:style w:type="paragraph" w:styleId="12">
    <w:name w:val="header"/>
    <w:basedOn w:val="1"/>
    <w:link w:val="35"/>
    <w:unhideWhenUsed/>
    <w:qFormat/>
    <w:uiPriority w:val="99"/>
    <w:pPr>
      <w:tabs>
        <w:tab w:val="center" w:pos="4153"/>
        <w:tab w:val="right" w:pos="8306"/>
      </w:tabs>
      <w:snapToGrid w:val="0"/>
      <w:jc w:val="center"/>
    </w:pPr>
    <w:rPr>
      <w:sz w:val="18"/>
      <w:szCs w:val="18"/>
    </w:rPr>
  </w:style>
  <w:style w:type="paragraph" w:styleId="13">
    <w:name w:val="Subtitle"/>
    <w:basedOn w:val="1"/>
    <w:next w:val="1"/>
    <w:link w:val="27"/>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uiPriority w:val="9"/>
    <w:rPr>
      <w:rFonts w:cstheme="majorBidi"/>
      <w:color w:val="104862" w:themeColor="accent1" w:themeShade="BF"/>
      <w:sz w:val="28"/>
      <w:szCs w:val="28"/>
    </w:rPr>
  </w:style>
  <w:style w:type="character" w:customStyle="1" w:styleId="21">
    <w:name w:val="标题 5 字符"/>
    <w:basedOn w:val="16"/>
    <w:link w:val="6"/>
    <w:semiHidden/>
    <w:uiPriority w:val="9"/>
    <w:rPr>
      <w:rFonts w:cstheme="majorBidi"/>
      <w:color w:val="104862" w:themeColor="accent1" w:themeShade="BF"/>
      <w:sz w:val="24"/>
      <w:szCs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qFormat/>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uiPriority w:val="99"/>
    <w:rPr>
      <w:sz w:val="18"/>
      <w:szCs w:val="18"/>
    </w:rPr>
  </w:style>
  <w:style w:type="character" w:customStyle="1" w:styleId="36">
    <w:name w:val="页脚 字符"/>
    <w:basedOn w:val="16"/>
    <w:link w:val="11"/>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hart" Target="charts/chart5.xml"/><Relationship Id="rId7" Type="http://schemas.openxmlformats.org/officeDocument/2006/relationships/chart" Target="charts/chart4.xml"/><Relationship Id="rId6" Type="http://schemas.openxmlformats.org/officeDocument/2006/relationships/chart" Target="charts/chart3.xml"/><Relationship Id="rId5" Type="http://schemas.openxmlformats.org/officeDocument/2006/relationships/chart" Target="charts/chart2.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3.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4.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oleObject" Target="file:///C:\Users\Eve\Desktop\&#23665;&#19996;&#31649;&#29702;&#23398;&#38498;\&#24037;&#20316;&#25991;&#20214;\&#37329;&#34701;&#31185;&#25216;&#31995;\2025.9.26\&#38543;&#26426;&#20998;&#25968;\&#26446;&#24605;&#277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能力评分统计</a:t>
            </a:r>
            <a:endParaRPr lang="zh-CN" altLang="en-US"/>
          </a:p>
        </c:rich>
      </c:tx>
      <c:layout/>
      <c:overlay val="0"/>
      <c:spPr>
        <a:noFill/>
        <a:ln>
          <a:noFill/>
        </a:ln>
        <a:effectLst/>
      </c:spPr>
    </c:title>
    <c:autoTitleDeleted val="0"/>
    <c:plotArea>
      <c:layout/>
      <c:barChart>
        <c:barDir val="col"/>
        <c:grouping val="clustered"/>
        <c:varyColors val="0"/>
        <c:ser>
          <c:idx val="0"/>
          <c:order val="0"/>
          <c:tx>
            <c:strRef>
              <c:f>[李思汉.xlsx]Sheet1!$B$2</c:f>
              <c:strCache>
                <c:ptCount val="1"/>
                <c:pt idx="0">
                  <c:v>学校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[李思汉.xlsx]Sheet1!$B$3:$B$8</c:f>
              <c:numCache>
                <c:formatCode>General</c:formatCode>
                <c:ptCount val="6"/>
                <c:pt idx="0">
                  <c:v>46</c:v>
                </c:pt>
                <c:pt idx="1">
                  <c:v>80</c:v>
                </c:pt>
                <c:pt idx="2">
                  <c:v>75</c:v>
                </c:pt>
                <c:pt idx="3">
                  <c:v>68</c:v>
                </c:pt>
                <c:pt idx="4">
                  <c:v>45</c:v>
                </c:pt>
                <c:pt idx="5">
                  <c:v>65</c:v>
                </c:pt>
              </c:numCache>
            </c:numRef>
          </c:val>
        </c:ser>
        <c:ser>
          <c:idx val="1"/>
          <c:order val="1"/>
          <c:tx>
            <c:strRef>
              <c:f>[李思汉.xlsx]Sheet1!$C$2</c:f>
              <c:strCache>
                <c:ptCount val="1"/>
                <c:pt idx="0">
                  <c:v>企业</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[李思汉.xlsx]Sheet1!$C$3:$C$8</c:f>
              <c:numCache>
                <c:formatCode>General</c:formatCode>
                <c:ptCount val="6"/>
                <c:pt idx="1">
                  <c:v>62</c:v>
                </c:pt>
                <c:pt idx="3">
                  <c:v>72</c:v>
                </c:pt>
              </c:numCache>
            </c:numRef>
          </c:val>
        </c:ser>
        <c:ser>
          <c:idx val="2"/>
          <c:order val="2"/>
          <c:tx>
            <c:strRef>
              <c:f>[李思汉.xlsx]Sheet1!$D$2</c:f>
              <c:strCache>
                <c:ptCount val="1"/>
                <c:pt idx="0">
                  <c:v>学生自评</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[李思汉.xlsx]Sheet1!$D$3:$D$8</c:f>
              <c:numCache>
                <c:formatCode>General</c:formatCode>
                <c:ptCount val="6"/>
                <c:pt idx="5">
                  <c:v>70</c:v>
                </c:pt>
              </c:numCache>
            </c:numRef>
          </c:val>
        </c:ser>
        <c:ser>
          <c:idx val="3"/>
          <c:order val="3"/>
          <c:tx>
            <c:strRef>
              <c:f>[李思汉.xlsx]Sheet1!$E$2</c:f>
              <c:strCache>
                <c:ptCount val="1"/>
                <c:pt idx="0">
                  <c:v>学生互评</c:v>
                </c:pt>
              </c:strCache>
            </c:strRef>
          </c:tx>
          <c:spPr>
            <a:solidFill>
              <a:schemeClr val="accent4"/>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[李思汉.xlsx]Sheet1!$A$3:$A$8</c:f>
              <c:strCache>
                <c:ptCount val="6"/>
                <c:pt idx="0">
                  <c:v>系统操作</c:v>
                </c:pt>
                <c:pt idx="1">
                  <c:v>数据分析</c:v>
                </c:pt>
                <c:pt idx="2">
                  <c:v>风险控制</c:v>
                </c:pt>
                <c:pt idx="3">
                  <c:v>方案定制</c:v>
                </c:pt>
                <c:pt idx="4">
                  <c:v>工具实操</c:v>
                </c:pt>
                <c:pt idx="5">
                  <c:v>调整优化</c:v>
                </c:pt>
              </c:strCache>
            </c:strRef>
          </c:cat>
          <c:val>
            <c:numRef>
              <c:f>[李思汉.xlsx]Sheet1!$E$3:$E$8</c:f>
              <c:numCache>
                <c:formatCode>General</c:formatCode>
                <c:ptCount val="6"/>
                <c:pt idx="3">
                  <c:v>90</c:v>
                </c:pt>
                <c:pt idx="4">
                  <c:v>78</c:v>
                </c:pt>
                <c:pt idx="5">
                  <c:v>85</c:v>
                </c:pt>
              </c:numCache>
            </c:numRef>
          </c:val>
        </c:ser>
        <c:dLbls>
          <c:showLegendKey val="0"/>
          <c:showVal val="1"/>
          <c:showCatName val="0"/>
          <c:showSerName val="0"/>
          <c:showPercent val="0"/>
          <c:showBubbleSize val="0"/>
        </c:dLbls>
        <c:gapWidth val="246"/>
        <c:overlap val="-28"/>
        <c:axId val="816995835"/>
        <c:axId val="269946517"/>
      </c:barChart>
      <c:catAx>
        <c:axId val="816995835"/>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9946517"/>
        <c:crosses val="autoZero"/>
        <c:auto val="1"/>
        <c:lblAlgn val="ctr"/>
        <c:lblOffset val="100"/>
        <c:noMultiLvlLbl val="0"/>
      </c:catAx>
      <c:valAx>
        <c:axId val="269946517"/>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6995835"/>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10c518d-fd37-41a5-876f-908e6359246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[李思汉.xlsx]Sheet1!$A$4</c:f>
              <c:strCache>
                <c:ptCount val="1"/>
                <c:pt idx="0">
                  <c:v>数据分析</c:v>
                </c:pt>
              </c:strCache>
            </c:strRef>
          </c:tx>
          <c:spPr>
            <a:solidFill>
              <a:schemeClr val="accent1"/>
            </a:solidFill>
            <a:ln>
              <a:noFill/>
            </a:ln>
            <a:effectLst/>
          </c:spPr>
          <c:invertIfNegative val="0"/>
          <c:dLbls>
            <c:delete val="1"/>
          </c:dLbls>
          <c:cat>
            <c:strRef>
              <c:f>[李思汉.xlsx]Sheet1!$B$2:$C$2</c:f>
              <c:strCache>
                <c:ptCount val="2"/>
                <c:pt idx="0">
                  <c:v>学校</c:v>
                </c:pt>
                <c:pt idx="1">
                  <c:v>企业</c:v>
                </c:pt>
              </c:strCache>
            </c:strRef>
          </c:cat>
          <c:val>
            <c:numRef>
              <c:f>[李思汉.xlsx]Sheet1!$B$4:$C$4</c:f>
              <c:numCache>
                <c:formatCode>General</c:formatCode>
                <c:ptCount val="2"/>
                <c:pt idx="0">
                  <c:v>80</c:v>
                </c:pt>
                <c:pt idx="1">
                  <c:v>62</c:v>
                </c:pt>
              </c:numCache>
            </c:numRef>
          </c:val>
        </c:ser>
        <c:dLbls>
          <c:showLegendKey val="0"/>
          <c:showVal val="0"/>
          <c:showCatName val="0"/>
          <c:showSerName val="0"/>
          <c:showPercent val="0"/>
          <c:showBubbleSize val="0"/>
        </c:dLbls>
        <c:gapWidth val="246"/>
        <c:overlap val="-28"/>
        <c:axId val="285612484"/>
        <c:axId val="247326676"/>
      </c:barChart>
      <c:catAx>
        <c:axId val="28561248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47326676"/>
        <c:crosses val="autoZero"/>
        <c:auto val="1"/>
        <c:lblAlgn val="ctr"/>
        <c:lblOffset val="100"/>
        <c:noMultiLvlLbl val="0"/>
      </c:catAx>
      <c:valAx>
        <c:axId val="247326676"/>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8561248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94ac59e-6793-449c-bf19-00ee6b1a8b0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[李思汉.xlsx]Sheet1!$A$6</c:f>
              <c:strCache>
                <c:ptCount val="1"/>
                <c:pt idx="0">
                  <c:v>方案定制</c:v>
                </c:pt>
              </c:strCache>
            </c:strRef>
          </c:tx>
          <c:spPr>
            <a:solidFill>
              <a:schemeClr val="accent1"/>
            </a:solidFill>
            <a:ln>
              <a:noFill/>
            </a:ln>
            <a:effectLst/>
          </c:spPr>
          <c:invertIfNegative val="0"/>
          <c:dLbls>
            <c:delete val="1"/>
          </c:dLbls>
          <c:cat>
            <c:strRef>
              <c:f>[李思汉.xlsx]Sheet1!$B$2:$E$2</c:f>
              <c:strCache>
                <c:ptCount val="3"/>
                <c:pt idx="0">
                  <c:v>学校</c:v>
                </c:pt>
                <c:pt idx="1">
                  <c:v>企业</c:v>
                </c:pt>
                <c:pt idx="2">
                  <c:v>学生互评</c:v>
                </c:pt>
              </c:strCache>
            </c:strRef>
          </c:cat>
          <c:val>
            <c:numRef>
              <c:f>Sheet1!$B$6:$E$6</c:f>
              <c:numCache>
                <c:formatCode>General</c:formatCode>
                <c:ptCount val="3"/>
                <c:pt idx="0">
                  <c:v>68</c:v>
                </c:pt>
                <c:pt idx="1">
                  <c:v>72</c:v>
                </c:pt>
                <c:pt idx="2">
                  <c:v>90</c:v>
                </c:pt>
              </c:numCache>
            </c:numRef>
          </c:val>
        </c:ser>
        <c:dLbls>
          <c:showLegendKey val="0"/>
          <c:showVal val="0"/>
          <c:showCatName val="0"/>
          <c:showSerName val="0"/>
          <c:showPercent val="0"/>
          <c:showBubbleSize val="0"/>
        </c:dLbls>
        <c:gapWidth val="246"/>
        <c:overlap val="-28"/>
        <c:axId val="798656170"/>
        <c:axId val="652637464"/>
      </c:barChart>
      <c:catAx>
        <c:axId val="798656170"/>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52637464"/>
        <c:crosses val="autoZero"/>
        <c:auto val="1"/>
        <c:lblAlgn val="ctr"/>
        <c:lblOffset val="100"/>
        <c:noMultiLvlLbl val="0"/>
      </c:catAx>
      <c:valAx>
        <c:axId val="652637464"/>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98656170"/>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87a7544-23d8-4312-8e20-2378c40ba47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[李思汉.xlsx]Sheet1!$A$7</c:f>
              <c:strCache>
                <c:ptCount val="1"/>
                <c:pt idx="0">
                  <c:v>工具实操</c:v>
                </c:pt>
              </c:strCache>
            </c:strRef>
          </c:tx>
          <c:spPr>
            <a:solidFill>
              <a:schemeClr val="accent1"/>
            </a:solidFill>
            <a:ln>
              <a:noFill/>
            </a:ln>
            <a:effectLst/>
          </c:spPr>
          <c:invertIfNegative val="0"/>
          <c:dLbls>
            <c:delete val="1"/>
          </c:dLbls>
          <c:cat>
            <c:strRef>
              <c:f>[李思汉.xlsx]Sheet1!$B$2:$E$2</c:f>
              <c:strCache>
                <c:ptCount val="2"/>
                <c:pt idx="0">
                  <c:v>学校</c:v>
                </c:pt>
                <c:pt idx="1">
                  <c:v>学生互评</c:v>
                </c:pt>
              </c:strCache>
            </c:strRef>
          </c:cat>
          <c:val>
            <c:numRef>
              <c:f>Sheet1!$B$7:$E$7</c:f>
              <c:numCache>
                <c:formatCode>General</c:formatCode>
                <c:ptCount val="2"/>
                <c:pt idx="0">
                  <c:v>45</c:v>
                </c:pt>
                <c:pt idx="1">
                  <c:v>78</c:v>
                </c:pt>
              </c:numCache>
            </c:numRef>
          </c:val>
        </c:ser>
        <c:dLbls>
          <c:showLegendKey val="0"/>
          <c:showVal val="0"/>
          <c:showCatName val="0"/>
          <c:showSerName val="0"/>
          <c:showPercent val="0"/>
          <c:showBubbleSize val="0"/>
        </c:dLbls>
        <c:gapWidth val="246"/>
        <c:overlap val="-28"/>
        <c:axId val="817552442"/>
        <c:axId val="530584345"/>
      </c:barChart>
      <c:catAx>
        <c:axId val="81755244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530584345"/>
        <c:crosses val="autoZero"/>
        <c:auto val="1"/>
        <c:lblAlgn val="ctr"/>
        <c:lblOffset val="100"/>
        <c:noMultiLvlLbl val="0"/>
      </c:catAx>
      <c:valAx>
        <c:axId val="530584345"/>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1755244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2cd16e23-36b6-4823-a2f8-322544b58438}"/>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1" i="0" u="none" strike="noStrike" kern="1200" baseline="0">
              <a:solidFill>
                <a:schemeClr val="tx1">
                  <a:lumMod val="75000"/>
                  <a:lumOff val="25000"/>
                </a:schemeClr>
              </a:solidFill>
              <a:latin typeface="+mn-lt"/>
              <a:ea typeface="+mn-ea"/>
              <a:cs typeface="+mn-cs"/>
            </a:defRPr>
          </a:pPr>
        </a:p>
      </c:txPr>
    </c:title>
    <c:autoTitleDeleted val="0"/>
    <c:plotArea>
      <c:layout/>
      <c:barChart>
        <c:barDir val="col"/>
        <c:grouping val="clustered"/>
        <c:varyColors val="0"/>
        <c:ser>
          <c:idx val="0"/>
          <c:order val="0"/>
          <c:tx>
            <c:strRef>
              <c:f>[李思汉.xlsx]Sheet1!$A$8</c:f>
              <c:strCache>
                <c:ptCount val="1"/>
                <c:pt idx="0">
                  <c:v>调整优化</c:v>
                </c:pt>
              </c:strCache>
            </c:strRef>
          </c:tx>
          <c:spPr>
            <a:solidFill>
              <a:schemeClr val="accent1"/>
            </a:solidFill>
            <a:ln>
              <a:noFill/>
            </a:ln>
            <a:effectLst/>
          </c:spPr>
          <c:invertIfNegative val="0"/>
          <c:dLbls>
            <c:delete val="1"/>
          </c:dLbls>
          <c:cat>
            <c:strRef>
              <c:f>[李思汉.xlsx]Sheet1!$B$2:$E$2</c:f>
              <c:strCache>
                <c:ptCount val="3"/>
                <c:pt idx="0">
                  <c:v>学校</c:v>
                </c:pt>
                <c:pt idx="1">
                  <c:v>学生自评</c:v>
                </c:pt>
                <c:pt idx="2">
                  <c:v>学生互评</c:v>
                </c:pt>
              </c:strCache>
            </c:strRef>
          </c:cat>
          <c:val>
            <c:numRef>
              <c:f>Sheet1!$B$8:$E$8</c:f>
              <c:numCache>
                <c:formatCode>General</c:formatCode>
                <c:ptCount val="3"/>
                <c:pt idx="0">
                  <c:v>65</c:v>
                </c:pt>
                <c:pt idx="1">
                  <c:v>70</c:v>
                </c:pt>
                <c:pt idx="2">
                  <c:v>85</c:v>
                </c:pt>
              </c:numCache>
            </c:numRef>
          </c:val>
        </c:ser>
        <c:dLbls>
          <c:showLegendKey val="0"/>
          <c:showVal val="0"/>
          <c:showCatName val="0"/>
          <c:showSerName val="0"/>
          <c:showPercent val="0"/>
          <c:showBubbleSize val="0"/>
        </c:dLbls>
        <c:gapWidth val="246"/>
        <c:overlap val="-28"/>
        <c:axId val="787258153"/>
        <c:axId val="809349592"/>
      </c:barChart>
      <c:catAx>
        <c:axId val="787258153"/>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09349592"/>
        <c:crosses val="autoZero"/>
        <c:auto val="1"/>
        <c:lblAlgn val="ctr"/>
        <c:lblOffset val="100"/>
        <c:noMultiLvlLbl val="0"/>
      </c:catAx>
      <c:valAx>
        <c:axId val="809349592"/>
        <c:scaling>
          <c:orientation val="minMax"/>
        </c:scaling>
        <c:delete val="0"/>
        <c:axPos val="l"/>
        <c:majorGridlines>
          <c:spPr>
            <a:ln w="9525" cap="flat" cmpd="sng" algn="ctr">
              <a:solidFill>
                <a:schemeClr val="lt1">
                  <a:lumMod val="902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725815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4cea55a0-7a44-404e-8268-2fdad8bc1fb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100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10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chemeClr val="dk1"/>
    </cs:fontRef>
    <cs:spPr>
      <a:ln>
        <a:noFill/>
      </a:ln>
      <a:effectLst/>
    </cs:spPr>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lt1">
            <a:lumMod val="902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75000"/>
        <a:lumOff val="25000"/>
      </a:schemeClr>
    </cs:fontRef>
    <cs:defRPr sz="1400" b="1" kern="120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2286</Words>
  <Characters>2340</Characters>
  <Lines>68</Lines>
  <Paragraphs>54</Paragraphs>
  <TotalTime>35</TotalTime>
  <ScaleCrop>false</ScaleCrop>
  <LinksUpToDate>false</LinksUpToDate>
  <CharactersWithSpaces>2340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2025-09-27T07:22:00Z</dcterms:created>
  <dc:creator>庆敏 侯</dc:creator>
  <cp:lastModifiedBy>Sternstunde</cp:lastModifiedBy>
  <dcterms:modified xsi:type="dcterms:W3CDTF">2025-09-29T12:30:31Z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eyJoZGlkIjoiZWQyMWE4Zjg0MmRlODNhZGU0MGE5ODQ2MWVhMzIzM2EiLCJ1c2VySWQiOiI0Mjk5MDk4NDUifQ==</vt:lpwstr>
  </property>
  <property fmtid="{D5CDD505-2E9C-101B-9397-08002B2CF9AE}" pid="3" name="KSOProductBuildVer">
    <vt:lpwstr>2052-12.1.0.23125</vt:lpwstr>
  </property>
  <property fmtid="{D5CDD505-2E9C-101B-9397-08002B2CF9AE}" pid="4" name="ICV">
    <vt:lpwstr>5DA44299FDAF40379069CD56316422C8_13</vt:lpwstr>
  </property>
</Properties>
</file>