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9C9165">
      <w:pPr>
        <w:jc w:val="center"/>
        <w:rPr>
          <w:rFonts w:hint="eastAsia" w:ascii="宋体" w:hAnsi="宋体" w:eastAsia="宋体"/>
          <w:color w:val="auto"/>
          <w:szCs w:val="21"/>
        </w:rPr>
      </w:pPr>
      <w:r>
        <w:rPr>
          <w:rFonts w:hint="eastAsia" w:ascii="宋体" w:hAnsi="宋体" w:eastAsia="宋体"/>
          <w:color w:val="auto"/>
          <w:szCs w:val="21"/>
        </w:rPr>
        <w:t>期货模拟交易大赛实战--能力分析报告</w:t>
      </w:r>
    </w:p>
    <w:p w14:paraId="32827FB9">
      <w:pPr>
        <w:rPr>
          <w:rFonts w:hint="eastAsia" w:ascii="宋体" w:hAnsi="宋体" w:eastAsia="宋体"/>
          <w:color w:val="auto"/>
          <w:szCs w:val="21"/>
          <w:lang w:eastAsia="zh-CN"/>
        </w:rPr>
      </w:pPr>
      <w:r>
        <w:rPr>
          <w:rFonts w:hint="eastAsia" w:ascii="宋体" w:hAnsi="宋体" w:eastAsia="宋体"/>
          <w:color w:val="auto"/>
          <w:szCs w:val="21"/>
        </w:rPr>
        <w:t>学号：233061301125</w:t>
      </w:r>
    </w:p>
    <w:p w14:paraId="536AA03E">
      <w:pPr>
        <w:rPr>
          <w:rFonts w:hint="eastAsia" w:ascii="宋体" w:hAnsi="宋体" w:eastAsia="宋体"/>
          <w:color w:val="auto"/>
          <w:szCs w:val="21"/>
        </w:rPr>
      </w:pPr>
      <w:r>
        <w:rPr>
          <w:rFonts w:hint="eastAsia" w:ascii="宋体" w:hAnsi="宋体" w:eastAsia="宋体"/>
          <w:color w:val="auto"/>
          <w:szCs w:val="21"/>
        </w:rPr>
        <w:t>姓名：宋述林</w:t>
      </w:r>
    </w:p>
    <w:p w14:paraId="3C9241AA">
      <w:pPr>
        <w:rPr>
          <w:rFonts w:hint="eastAsia" w:ascii="宋体" w:hAnsi="宋体" w:eastAsia="宋体"/>
          <w:color w:val="auto"/>
          <w:szCs w:val="21"/>
        </w:rPr>
      </w:pPr>
      <w:r>
        <w:rPr>
          <w:rFonts w:hint="eastAsia" w:ascii="宋体" w:hAnsi="宋体" w:eastAsia="宋体"/>
          <w:color w:val="auto"/>
          <w:szCs w:val="21"/>
        </w:rPr>
        <w:t>总分：80（详见项目评分标准）</w:t>
      </w:r>
    </w:p>
    <w:p w14:paraId="51EDFA1D">
      <w:pPr>
        <w:jc w:val="center"/>
        <w:rPr>
          <w:rFonts w:hint="eastAsia" w:ascii="宋体" w:hAnsi="宋体" w:eastAsia="宋体"/>
          <w:color w:val="auto"/>
          <w:szCs w:val="21"/>
        </w:rPr>
      </w:pPr>
      <w:r>
        <w:rPr>
          <w:rFonts w:ascii="宋体" w:hAnsi="宋体" w:eastAsia="宋体"/>
          <w:color w:val="auto"/>
          <w:szCs w:val="21"/>
        </w:rPr>
        <w:drawing>
          <wp:inline distT="0" distB="0" distL="0" distR="0">
            <wp:extent cx="4828540" cy="2746375"/>
            <wp:effectExtent l="0" t="0" r="10160" b="15875"/>
            <wp:docPr id="1641745940"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31A0FED5">
      <w:pPr>
        <w:rPr>
          <w:rFonts w:hint="eastAsia" w:ascii="宋体" w:hAnsi="宋体" w:eastAsia="宋体"/>
          <w:color w:val="auto"/>
          <w:szCs w:val="21"/>
        </w:rPr>
      </w:pPr>
      <w:r>
        <w:rPr>
          <w:rFonts w:hint="eastAsia" w:ascii="宋体" w:hAnsi="宋体" w:eastAsia="宋体"/>
          <w:color w:val="auto"/>
          <w:szCs w:val="21"/>
        </w:rPr>
        <w:t>从整体来看：</w:t>
      </w:r>
    </w:p>
    <w:p w14:paraId="3BD96EF6">
      <w:pPr>
        <w:rPr>
          <w:rFonts w:hint="eastAsia" w:ascii="宋体" w:hAnsi="宋体" w:eastAsia="宋体"/>
          <w:color w:val="auto"/>
          <w:szCs w:val="21"/>
        </w:rPr>
      </w:pPr>
      <w:r>
        <w:rPr>
          <w:rFonts w:ascii="宋体" w:hAnsi="宋体" w:eastAsia="宋体"/>
          <w:color w:val="auto"/>
          <w:szCs w:val="21"/>
        </w:rPr>
        <w:t>优势</w:t>
      </w:r>
      <w:r>
        <w:rPr>
          <w:rFonts w:ascii="宋体" w:hAnsi="宋体" w:eastAsia="宋体"/>
          <w:color w:val="auto"/>
          <w:szCs w:val="21"/>
        </w:rPr>
        <w:br w:type="textWrapping"/>
      </w:r>
      <w:r>
        <w:rPr>
          <w:rFonts w:ascii="宋体" w:hAnsi="宋体" w:eastAsia="宋体"/>
          <w:color w:val="auto"/>
          <w:szCs w:val="21"/>
        </w:rPr>
        <w:t>该生在期货交易课程中展现出卓越的数据分析能力和扎实的系统操作基础，在数据处理和策略构建方面表现突出。其工具实操水平获得学校高度认可，调整优化环节的自评与互评均显示较强的自我驱动意识，能够主动完善交易策略。特别是在方案定制方面获得企业90分评价，显示出将理论转化为实务方案的潜力，这种市场对接能力是其显著优势。</w:t>
      </w:r>
    </w:p>
    <w:p w14:paraId="1F829CE0">
      <w:pPr>
        <w:rPr>
          <w:rFonts w:hint="eastAsia" w:ascii="宋体" w:hAnsi="宋体" w:eastAsia="宋体"/>
          <w:color w:val="auto"/>
          <w:szCs w:val="21"/>
        </w:rPr>
      </w:pPr>
      <w:r>
        <w:rPr>
          <w:rFonts w:ascii="宋体" w:hAnsi="宋体" w:eastAsia="宋体"/>
          <w:color w:val="auto"/>
          <w:szCs w:val="21"/>
        </w:rPr>
        <w:t>短板</w:t>
      </w:r>
      <w:r>
        <w:rPr>
          <w:rFonts w:ascii="宋体" w:hAnsi="宋体" w:eastAsia="宋体"/>
          <w:color w:val="auto"/>
          <w:szCs w:val="21"/>
        </w:rPr>
        <w:br w:type="textWrapping"/>
      </w:r>
      <w:r>
        <w:rPr>
          <w:rFonts w:ascii="宋体" w:hAnsi="宋体" w:eastAsia="宋体"/>
          <w:color w:val="auto"/>
          <w:szCs w:val="21"/>
        </w:rPr>
        <w:t>需要重点关注的是风险控制能力存在严重不足，这可能在真实交易环境中带来重大隐患。虽然系统操作和工具使用基础尚可，但风险管理的薄弱将直接影响交易成果的稳定性。此外，方案定制的互评分数明显偏低，反映出其在团队协作中可能存在沟通或配合问题，这种个人能力与团队评价的反差提示需要加强集体作战意识。建议优先补足风控短板，同时提升团队协作效能，方能实现交易能力的均衡发展。</w:t>
      </w:r>
    </w:p>
    <w:p w14:paraId="2618B437">
      <w:pPr>
        <w:rPr>
          <w:rFonts w:hint="eastAsia" w:ascii="宋体" w:hAnsi="宋体" w:eastAsia="宋体"/>
          <w:color w:val="auto"/>
          <w:szCs w:val="21"/>
        </w:rPr>
      </w:pPr>
    </w:p>
    <w:p w14:paraId="3F0D3FEB">
      <w:pPr>
        <w:rPr>
          <w:rFonts w:hint="eastAsia" w:ascii="宋体" w:hAnsi="宋体" w:eastAsia="宋体"/>
          <w:color w:val="auto"/>
          <w:szCs w:val="21"/>
        </w:rPr>
      </w:pPr>
      <w:r>
        <w:rPr>
          <w:rFonts w:hint="eastAsia" w:ascii="宋体" w:hAnsi="宋体" w:eastAsia="宋体"/>
          <w:color w:val="auto"/>
          <w:szCs w:val="21"/>
        </w:rPr>
        <w:t>具体来看：</w:t>
      </w:r>
    </w:p>
    <w:p w14:paraId="7A59EA8B">
      <w:pPr>
        <w:rPr>
          <w:rFonts w:hint="eastAsia" w:ascii="宋体" w:hAnsi="宋体" w:eastAsia="宋体"/>
          <w:color w:val="auto"/>
          <w:szCs w:val="21"/>
        </w:rPr>
      </w:pPr>
      <w:r>
        <w:rPr>
          <w:rFonts w:hint="eastAsia" w:ascii="宋体" w:hAnsi="宋体" w:eastAsia="宋体"/>
          <w:color w:val="auto"/>
          <w:szCs w:val="21"/>
        </w:rPr>
        <w:t>系统操作能力</w:t>
      </w:r>
    </w:p>
    <w:p w14:paraId="6687BDF8">
      <w:pPr>
        <w:ind w:firstLine="420"/>
        <w:rPr>
          <w:rFonts w:hint="eastAsia" w:ascii="宋体" w:hAnsi="宋体" w:eastAsia="宋体"/>
          <w:color w:val="auto"/>
          <w:szCs w:val="21"/>
        </w:rPr>
      </w:pPr>
      <w:r>
        <w:rPr>
          <w:rFonts w:ascii="宋体" w:hAnsi="宋体" w:eastAsia="宋体"/>
          <w:color w:val="auto"/>
          <w:szCs w:val="21"/>
        </w:rPr>
        <w:t>在系统操作能力上，学校给出了</w:t>
      </w:r>
      <w:r>
        <w:rPr>
          <w:rFonts w:hint="eastAsia" w:ascii="宋体" w:hAnsi="宋体" w:eastAsia="宋体"/>
          <w:color w:val="auto"/>
          <w:szCs w:val="21"/>
        </w:rPr>
        <w:t>81</w:t>
      </w:r>
      <w:r>
        <w:rPr>
          <w:rFonts w:ascii="宋体" w:hAnsi="宋体" w:eastAsia="宋体"/>
          <w:color w:val="auto"/>
          <w:szCs w:val="21"/>
        </w:rPr>
        <w:t>分的评价。这意味着</w:t>
      </w:r>
      <w:r>
        <w:rPr>
          <w:rFonts w:hint="eastAsia" w:ascii="宋体" w:hAnsi="宋体" w:eastAsia="宋体"/>
          <w:color w:val="auto"/>
          <w:szCs w:val="21"/>
        </w:rPr>
        <w:t>在规定时间内，该学生能高效且准确地完成复杂金融业务操作任务，正确率达到95%及以上，操作流程熟练流畅，对系统功能的运用精准且全面，能快速应对并解决操作过程中出现的突发小问题。</w:t>
      </w:r>
    </w:p>
    <w:p w14:paraId="5B9D3643">
      <w:pPr>
        <w:ind w:firstLine="420"/>
        <w:rPr>
          <w:rFonts w:hint="eastAsia" w:ascii="宋体" w:hAnsi="宋体" w:eastAsia="宋体"/>
          <w:color w:val="auto"/>
          <w:szCs w:val="21"/>
        </w:rPr>
      </w:pPr>
      <w:r>
        <w:rPr>
          <w:rFonts w:ascii="宋体" w:hAnsi="宋体" w:eastAsia="宋体"/>
          <w:color w:val="auto"/>
          <w:szCs w:val="21"/>
        </w:rPr>
        <w:t>该同学在期货交易课程中展现出卓越的平台操作素养，其系统应用能力达到显著水平。在订单执行、参数调整与数据提取等核心环节均表现出精准高效的操作特性，体现了对交易系统的全面掌控力。这种兼具速度与稳定性的操作表现，既源于对平台架构的深刻理解，也反映出经过系统训练形成的规范化操作模式。此项核心能力为其在模拟交易环境中保持稳定输出奠定了技术基础，同时预示着在实盘交易场景中具备显著的适应优势。值得注意的是，这种技术能力与数据分析等优势模块形成的协同效应，将进一步增强其在复杂市场环境中的综合竞争力。</w:t>
      </w:r>
    </w:p>
    <w:p w14:paraId="27C9A65F">
      <w:pPr>
        <w:ind w:firstLine="420"/>
        <w:rPr>
          <w:rFonts w:hint="eastAsia" w:ascii="宋体" w:hAnsi="宋体" w:eastAsia="宋体"/>
          <w:color w:val="auto"/>
          <w:szCs w:val="21"/>
        </w:rPr>
      </w:pPr>
      <w:r>
        <w:rPr>
          <w:rFonts w:hint="eastAsia" w:ascii="宋体" w:hAnsi="宋体" w:eastAsia="宋体"/>
          <w:color w:val="auto"/>
          <w:szCs w:val="21"/>
        </w:rPr>
        <w:t>数据分析能力</w:t>
      </w:r>
    </w:p>
    <w:p w14:paraId="7E004C12">
      <w:pPr>
        <w:jc w:val="center"/>
        <w:rPr>
          <w:rFonts w:hint="eastAsia" w:ascii="宋体" w:hAnsi="宋体" w:eastAsia="宋体"/>
          <w:color w:val="auto"/>
          <w:szCs w:val="21"/>
        </w:rPr>
      </w:pPr>
      <w:r>
        <w:rPr>
          <w:rFonts w:ascii="宋体" w:hAnsi="宋体" w:eastAsia="宋体"/>
          <w:color w:val="auto"/>
          <w:szCs w:val="21"/>
        </w:rPr>
        <w:drawing>
          <wp:inline distT="0" distB="0" distL="0" distR="0">
            <wp:extent cx="4826000" cy="2746375"/>
            <wp:effectExtent l="0" t="0" r="12700" b="15875"/>
            <wp:docPr id="415283994"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6C7357C5">
      <w:pPr>
        <w:ind w:firstLine="420"/>
        <w:rPr>
          <w:rFonts w:hint="eastAsia" w:ascii="宋体" w:hAnsi="宋体" w:eastAsia="宋体"/>
          <w:color w:val="auto"/>
          <w:szCs w:val="21"/>
        </w:rPr>
      </w:pPr>
      <w:r>
        <w:rPr>
          <w:rFonts w:hint="eastAsia" w:ascii="宋体" w:hAnsi="宋体" w:eastAsia="宋体"/>
          <w:color w:val="auto"/>
          <w:szCs w:val="21"/>
        </w:rPr>
        <w:t>数据分析能力学校给出99分，企业给出87分。</w:t>
      </w:r>
      <w:r>
        <w:rPr>
          <w:rFonts w:ascii="宋体" w:hAnsi="宋体" w:eastAsia="宋体"/>
          <w:color w:val="auto"/>
          <w:szCs w:val="21"/>
        </w:rPr>
        <w:t>学校方面认为，</w:t>
      </w:r>
      <w:r>
        <w:rPr>
          <w:rFonts w:hint="eastAsia" w:ascii="宋体" w:hAnsi="宋体" w:eastAsia="宋体"/>
          <w:color w:val="auto"/>
          <w:szCs w:val="21"/>
        </w:rPr>
        <w:t>报告采用先进且恰当的分析方法，对数据的挖掘深入透彻，结论可靠且具有创新性，能为相关决策提供重要依据。</w:t>
      </w:r>
      <w:r>
        <w:rPr>
          <w:rFonts w:ascii="宋体" w:hAnsi="宋体" w:eastAsia="宋体"/>
          <w:color w:val="auto"/>
          <w:szCs w:val="21"/>
        </w:rPr>
        <w:t>企业评估特别指出，该生的数据分析成果对业务运营具有显著的指导意义，已能够为企业的关键决策提供实质性支持。这表明该生不仅掌握了系统的数据分析理论与方法，更展现出将学术知识转化为商业洞察的出色能力。其分析成果既体现了严谨的学术训练背景，又呈现出明确的实用价值，成功构建了理论与实践之间的有效桥梁。这种兼顾专业深度与商业敏感度的特质，使其在解决实际业务问题时能够提供兼具创新性与可行性的解决方案，展现出复合型人才的特质。</w:t>
      </w:r>
    </w:p>
    <w:p w14:paraId="1FFB0127">
      <w:pPr>
        <w:ind w:firstLine="420"/>
        <w:rPr>
          <w:rFonts w:hint="eastAsia" w:ascii="宋体" w:hAnsi="宋体" w:eastAsia="宋体"/>
          <w:color w:val="auto"/>
          <w:szCs w:val="21"/>
        </w:rPr>
      </w:pPr>
      <w:r>
        <w:rPr>
          <w:rFonts w:hint="eastAsia" w:ascii="宋体" w:hAnsi="宋体" w:eastAsia="宋体"/>
          <w:color w:val="auto"/>
          <w:szCs w:val="21"/>
        </w:rPr>
        <w:t>风险控制能力</w:t>
      </w:r>
    </w:p>
    <w:p w14:paraId="5EEEB8FE">
      <w:pPr>
        <w:ind w:firstLine="420"/>
        <w:rPr>
          <w:rFonts w:hint="eastAsia" w:ascii="宋体" w:hAnsi="宋体" w:eastAsia="宋体"/>
          <w:color w:val="auto"/>
          <w:szCs w:val="21"/>
        </w:rPr>
      </w:pPr>
      <w:r>
        <w:rPr>
          <w:rFonts w:ascii="宋体" w:hAnsi="宋体" w:eastAsia="宋体"/>
          <w:color w:val="auto"/>
          <w:szCs w:val="21"/>
        </w:rPr>
        <w:t>风险控制能力学校评分为</w:t>
      </w:r>
      <w:r>
        <w:rPr>
          <w:rFonts w:hint="eastAsia" w:ascii="宋体" w:hAnsi="宋体" w:eastAsia="宋体"/>
          <w:color w:val="auto"/>
          <w:szCs w:val="21"/>
        </w:rPr>
        <w:t>38</w:t>
      </w:r>
      <w:r>
        <w:rPr>
          <w:rFonts w:ascii="宋体" w:hAnsi="宋体" w:eastAsia="宋体"/>
          <w:color w:val="auto"/>
          <w:szCs w:val="21"/>
        </w:rPr>
        <w:t>分，说明</w:t>
      </w:r>
      <w:r>
        <w:rPr>
          <w:rFonts w:hint="eastAsia" w:ascii="宋体" w:hAnsi="宋体" w:eastAsia="宋体"/>
          <w:color w:val="auto"/>
          <w:szCs w:val="21"/>
        </w:rPr>
        <w:t>不能及时采取控制措施，及时率和准确率均低于65%，无法有效控制风险，造成较大损失。</w:t>
      </w:r>
      <w:r>
        <w:rPr>
          <w:rFonts w:ascii="宋体" w:hAnsi="宋体" w:eastAsia="宋体"/>
          <w:color w:val="auto"/>
          <w:szCs w:val="21"/>
        </w:rPr>
        <w:t>这一评估结果反映出该生在风险管理方面存在严重缺陷。具体表现为风险响应机制严重滞后致风险事件发生时既不能及时识别预警，也缺乏有效的应对措施。这种风控失效直接造成模拟交易中的重大损失，暴露出三个核心问题：一是缺乏系统性的风险识别框架，对市场波动、仓位风险等关键指标敏感度不足；二是未能建立有效的止损止盈机制，在行情逆转时往往陷入被动观望；三是风险处置能力薄弱，面对突发状况时容易陷入决策瘫痪。这种风控能力短板若带入实盘交易，将可能导致灾难性后果，必须通过针对性的压力测试和情景模拟训练来系统提升风险意识与应对能力。</w:t>
      </w:r>
    </w:p>
    <w:p w14:paraId="5D1E0A8F">
      <w:pPr>
        <w:ind w:firstLine="420"/>
        <w:rPr>
          <w:rFonts w:hint="eastAsia" w:ascii="宋体" w:hAnsi="宋体" w:eastAsia="宋体"/>
          <w:color w:val="auto"/>
          <w:szCs w:val="21"/>
        </w:rPr>
      </w:pPr>
      <w:r>
        <w:rPr>
          <w:rFonts w:hint="eastAsia" w:ascii="宋体" w:hAnsi="宋体" w:eastAsia="宋体"/>
          <w:color w:val="auto"/>
          <w:szCs w:val="21"/>
        </w:rPr>
        <w:t>方案定制能力</w:t>
      </w:r>
    </w:p>
    <w:p w14:paraId="6487FBC5">
      <w:pPr>
        <w:jc w:val="center"/>
        <w:rPr>
          <w:rFonts w:hint="eastAsia" w:ascii="宋体" w:hAnsi="宋体" w:eastAsia="宋体"/>
          <w:color w:val="auto"/>
          <w:szCs w:val="21"/>
        </w:rPr>
      </w:pPr>
      <w:r>
        <w:rPr>
          <w:rFonts w:ascii="宋体" w:hAnsi="宋体" w:eastAsia="宋体"/>
          <w:color w:val="auto"/>
          <w:szCs w:val="21"/>
        </w:rPr>
        <w:drawing>
          <wp:inline distT="0" distB="0" distL="0" distR="0">
            <wp:extent cx="4826000" cy="2746375"/>
            <wp:effectExtent l="0" t="0" r="12700" b="15875"/>
            <wp:docPr id="206608143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5143306">
      <w:pPr>
        <w:ind w:firstLine="420"/>
        <w:rPr>
          <w:rFonts w:hint="eastAsia" w:ascii="宋体" w:hAnsi="宋体" w:eastAsia="宋体"/>
          <w:color w:val="auto"/>
          <w:szCs w:val="21"/>
        </w:rPr>
      </w:pPr>
      <w:r>
        <w:rPr>
          <w:rFonts w:ascii="宋体" w:hAnsi="宋体" w:eastAsia="宋体"/>
          <w:color w:val="auto"/>
          <w:szCs w:val="21"/>
        </w:rPr>
        <w:t>方案定制能力方面，学校评分为</w:t>
      </w:r>
      <w:r>
        <w:rPr>
          <w:rFonts w:hint="eastAsia" w:ascii="宋体" w:hAnsi="宋体" w:eastAsia="宋体"/>
          <w:color w:val="auto"/>
          <w:szCs w:val="21"/>
        </w:rPr>
        <w:t>80</w:t>
      </w:r>
      <w:r>
        <w:rPr>
          <w:rFonts w:ascii="宋体" w:hAnsi="宋体" w:eastAsia="宋体"/>
          <w:color w:val="auto"/>
          <w:szCs w:val="21"/>
        </w:rPr>
        <w:t>分，企业评分为</w:t>
      </w:r>
      <w:r>
        <w:rPr>
          <w:rFonts w:hint="eastAsia" w:ascii="宋体" w:hAnsi="宋体" w:eastAsia="宋体"/>
          <w:color w:val="auto"/>
          <w:szCs w:val="21"/>
        </w:rPr>
        <w:t>90</w:t>
      </w:r>
      <w:r>
        <w:rPr>
          <w:rFonts w:ascii="宋体" w:hAnsi="宋体" w:eastAsia="宋体"/>
          <w:color w:val="auto"/>
          <w:szCs w:val="21"/>
        </w:rPr>
        <w:t>分，学生互评得分为</w:t>
      </w:r>
      <w:r>
        <w:rPr>
          <w:rFonts w:hint="eastAsia" w:ascii="宋体" w:hAnsi="宋体" w:eastAsia="宋体"/>
          <w:color w:val="auto"/>
          <w:szCs w:val="21"/>
        </w:rPr>
        <w:t>60</w:t>
      </w:r>
      <w:r>
        <w:rPr>
          <w:rFonts w:ascii="宋体" w:hAnsi="宋体" w:eastAsia="宋体"/>
          <w:color w:val="auto"/>
          <w:szCs w:val="21"/>
        </w:rPr>
        <w:t>分。学校方面认为</w:t>
      </w:r>
      <w:r>
        <w:rPr>
          <w:rFonts w:hint="eastAsia" w:ascii="宋体" w:hAnsi="宋体" w:eastAsia="宋体"/>
          <w:color w:val="auto"/>
          <w:szCs w:val="21"/>
        </w:rPr>
        <w:t>方案较完整，设计方法较科学，可行性较高，能较好地满足客户的基本金融需求</w:t>
      </w:r>
      <w:r>
        <w:rPr>
          <w:rFonts w:ascii="宋体" w:hAnsi="宋体" w:eastAsia="宋体"/>
          <w:color w:val="auto"/>
          <w:szCs w:val="21"/>
        </w:rPr>
        <w:t>；企业评价指出</w:t>
      </w:r>
      <w:r>
        <w:rPr>
          <w:rFonts w:hint="eastAsia" w:ascii="宋体" w:hAnsi="宋体" w:eastAsia="宋体"/>
          <w:color w:val="auto"/>
          <w:szCs w:val="21"/>
        </w:rPr>
        <w:t>方案与客户反馈高度匹配，充分满足客户的个性化需求，得到客户的高度认可，对企业的客户满意度和业务口碑有极大提升</w:t>
      </w:r>
      <w:r>
        <w:rPr>
          <w:rFonts w:ascii="宋体" w:hAnsi="宋体" w:eastAsia="宋体"/>
          <w:color w:val="auto"/>
          <w:szCs w:val="21"/>
        </w:rPr>
        <w:t>；学生互评则反映</w:t>
      </w:r>
      <w:r>
        <w:rPr>
          <w:rFonts w:hint="eastAsia" w:ascii="宋体" w:hAnsi="宋体" w:eastAsia="宋体"/>
          <w:color w:val="auto"/>
          <w:szCs w:val="21"/>
        </w:rPr>
        <w:t>方案针对性和实用性较低，创新性差，对解决客户问题的作用不大。</w:t>
      </w:r>
      <w:r>
        <w:rPr>
          <w:rFonts w:ascii="宋体" w:hAnsi="宋体" w:eastAsia="宋体"/>
          <w:color w:val="auto"/>
          <w:szCs w:val="21"/>
        </w:rPr>
        <w:t>该生展现出的核心优势在于：既具备扎实的方案设计基本功，又能将客户需求转化为具有商业价值的解决方案，这种兼顾学术规范与市场洞察的能力，在金融实务领域具有重要价值。而团队评价所反映的期待，则为其指明了从"合格执行"向"创新引领"进阶的方向。</w:t>
      </w:r>
    </w:p>
    <w:p w14:paraId="5DDE843C">
      <w:pPr>
        <w:ind w:firstLine="420"/>
        <w:rPr>
          <w:rFonts w:hint="eastAsia" w:ascii="宋体" w:hAnsi="宋体" w:eastAsia="宋体"/>
          <w:color w:val="auto"/>
          <w:szCs w:val="21"/>
        </w:rPr>
      </w:pPr>
      <w:r>
        <w:rPr>
          <w:rFonts w:hint="eastAsia" w:ascii="宋体" w:hAnsi="宋体" w:eastAsia="宋体"/>
          <w:color w:val="auto"/>
          <w:szCs w:val="21"/>
        </w:rPr>
        <w:t>工具实操能力</w:t>
      </w:r>
    </w:p>
    <w:p w14:paraId="3C83CD36">
      <w:pPr>
        <w:ind w:firstLine="420"/>
        <w:jc w:val="center"/>
        <w:rPr>
          <w:rFonts w:hint="eastAsia" w:ascii="宋体" w:hAnsi="宋体" w:eastAsia="宋体"/>
          <w:color w:val="auto"/>
          <w:szCs w:val="21"/>
        </w:rPr>
      </w:pPr>
      <w:r>
        <w:rPr>
          <w:rFonts w:ascii="宋体" w:hAnsi="宋体" w:eastAsia="宋体"/>
          <w:color w:val="auto"/>
          <w:szCs w:val="21"/>
        </w:rPr>
        <w:drawing>
          <wp:inline distT="0" distB="0" distL="0" distR="0">
            <wp:extent cx="4826000" cy="2746375"/>
            <wp:effectExtent l="0" t="0" r="12700" b="15875"/>
            <wp:docPr id="5967630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EF42715">
      <w:pPr>
        <w:ind w:firstLine="420"/>
        <w:rPr>
          <w:rFonts w:hint="eastAsia" w:ascii="宋体" w:hAnsi="宋体" w:eastAsia="宋体"/>
          <w:color w:val="auto"/>
          <w:szCs w:val="21"/>
        </w:rPr>
      </w:pPr>
      <w:r>
        <w:rPr>
          <w:rFonts w:ascii="宋体" w:hAnsi="宋体" w:eastAsia="宋体"/>
          <w:color w:val="auto"/>
          <w:szCs w:val="21"/>
        </w:rPr>
        <w:t>在工具实操能力方面，学校评分为</w:t>
      </w:r>
      <w:r>
        <w:rPr>
          <w:rFonts w:hint="eastAsia" w:ascii="宋体" w:hAnsi="宋体" w:eastAsia="宋体"/>
          <w:color w:val="auto"/>
          <w:szCs w:val="21"/>
        </w:rPr>
        <w:t>89</w:t>
      </w:r>
      <w:r>
        <w:rPr>
          <w:rFonts w:ascii="宋体" w:hAnsi="宋体" w:eastAsia="宋体"/>
          <w:color w:val="auto"/>
          <w:szCs w:val="21"/>
        </w:rPr>
        <w:t>分，学生互评则为</w:t>
      </w:r>
      <w:r>
        <w:rPr>
          <w:rFonts w:hint="eastAsia" w:ascii="宋体" w:hAnsi="宋体" w:eastAsia="宋体"/>
          <w:color w:val="auto"/>
          <w:szCs w:val="21"/>
        </w:rPr>
        <w:t>70</w:t>
      </w:r>
      <w:r>
        <w:rPr>
          <w:rFonts w:ascii="宋体" w:hAnsi="宋体" w:eastAsia="宋体"/>
          <w:color w:val="auto"/>
          <w:szCs w:val="21"/>
        </w:rPr>
        <w:t>分。学校评价显示，</w:t>
      </w:r>
      <w:r>
        <w:rPr>
          <w:rFonts w:hint="eastAsia" w:ascii="宋体" w:hAnsi="宋体" w:eastAsia="宋体"/>
          <w:color w:val="auto"/>
          <w:szCs w:val="21"/>
        </w:rPr>
        <w:t>无错误操作次数达到规定次数的85%-94%之间，操作较熟练，偶有小失误但不影响整体效果。</w:t>
      </w:r>
      <w:r>
        <w:rPr>
          <w:rFonts w:ascii="宋体" w:hAnsi="宋体" w:eastAsia="宋体"/>
          <w:color w:val="auto"/>
          <w:szCs w:val="21"/>
        </w:rPr>
        <w:t>在学生互评环节中，工具实操能力获得</w:t>
      </w:r>
      <w:r>
        <w:rPr>
          <w:rFonts w:hint="eastAsia" w:ascii="宋体" w:hAnsi="宋体" w:eastAsia="宋体"/>
          <w:color w:val="auto"/>
          <w:szCs w:val="21"/>
        </w:rPr>
        <w:t>中等</w:t>
      </w:r>
      <w:r>
        <w:rPr>
          <w:rFonts w:ascii="宋体" w:hAnsi="宋体" w:eastAsia="宋体"/>
          <w:color w:val="auto"/>
          <w:szCs w:val="21"/>
        </w:rPr>
        <w:t>分数</w:t>
      </w:r>
      <w:r>
        <w:rPr>
          <w:rFonts w:hint="eastAsia" w:ascii="宋体" w:hAnsi="宋体" w:eastAsia="宋体"/>
          <w:color w:val="auto"/>
          <w:szCs w:val="21"/>
        </w:rPr>
        <w:t>。</w:t>
      </w:r>
      <w:r>
        <w:rPr>
          <w:rFonts w:ascii="宋体" w:hAnsi="宋体" w:eastAsia="宋体"/>
          <w:color w:val="auto"/>
          <w:szCs w:val="21"/>
        </w:rPr>
        <w:t>这一评估结果揭示出该生职业发展的关键进阶路径：需从个体技术能力向集体协作效能进行战略性转变。在持续夯实个人技术优势的基础上，应着力培育协同场景下的工具应用智慧——通过构建标准化操作体系实现技术共享，以技术赋能者角色主动为团队提供专业支持，并将个人高效操作模式提炼为可复用的协作范式。这种将技术优势转化为团队资本的能力，对于适应高度依赖协同作战的现代金融业态具有决定性意义。</w:t>
      </w:r>
    </w:p>
    <w:p w14:paraId="60884420">
      <w:pPr>
        <w:ind w:firstLine="420"/>
        <w:rPr>
          <w:rFonts w:hint="eastAsia" w:ascii="宋体" w:hAnsi="宋体" w:eastAsia="宋体"/>
          <w:color w:val="auto"/>
          <w:szCs w:val="21"/>
        </w:rPr>
      </w:pPr>
    </w:p>
    <w:p w14:paraId="500A768F">
      <w:pPr>
        <w:ind w:firstLine="420"/>
        <w:rPr>
          <w:rFonts w:hint="eastAsia" w:ascii="宋体" w:hAnsi="宋体" w:eastAsia="宋体"/>
          <w:color w:val="auto"/>
          <w:szCs w:val="21"/>
        </w:rPr>
      </w:pPr>
      <w:r>
        <w:rPr>
          <w:rFonts w:hint="eastAsia" w:ascii="宋体" w:hAnsi="宋体" w:eastAsia="宋体"/>
          <w:color w:val="auto"/>
          <w:szCs w:val="21"/>
        </w:rPr>
        <w:t>调整优化能力</w:t>
      </w:r>
    </w:p>
    <w:p w14:paraId="3C73220B">
      <w:pPr>
        <w:jc w:val="center"/>
        <w:rPr>
          <w:rFonts w:hint="eastAsia" w:ascii="宋体" w:hAnsi="宋体" w:eastAsia="宋体"/>
          <w:color w:val="auto"/>
          <w:szCs w:val="21"/>
        </w:rPr>
      </w:pPr>
      <w:r>
        <w:rPr>
          <w:rFonts w:ascii="宋体" w:hAnsi="宋体" w:eastAsia="宋体"/>
          <w:color w:val="auto"/>
          <w:szCs w:val="21"/>
        </w:rPr>
        <w:drawing>
          <wp:inline distT="0" distB="0" distL="0" distR="0">
            <wp:extent cx="4826000" cy="2746375"/>
            <wp:effectExtent l="0" t="0" r="12700" b="15875"/>
            <wp:docPr id="1699186745"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ABC08E4">
      <w:pPr>
        <w:ind w:firstLine="420"/>
        <w:rPr>
          <w:rFonts w:hint="eastAsia" w:ascii="宋体" w:hAnsi="宋体" w:eastAsia="宋体"/>
          <w:color w:val="auto"/>
          <w:szCs w:val="21"/>
        </w:rPr>
      </w:pPr>
      <w:r>
        <w:rPr>
          <w:rFonts w:ascii="宋体" w:hAnsi="宋体" w:eastAsia="宋体"/>
          <w:color w:val="auto"/>
          <w:szCs w:val="21"/>
        </w:rPr>
        <w:t>调整优化能力学校评</w:t>
      </w:r>
      <w:r>
        <w:rPr>
          <w:rFonts w:hint="eastAsia" w:ascii="宋体" w:hAnsi="宋体" w:eastAsia="宋体"/>
          <w:color w:val="auto"/>
          <w:szCs w:val="21"/>
        </w:rPr>
        <w:t>85</w:t>
      </w:r>
      <w:r>
        <w:rPr>
          <w:rFonts w:ascii="宋体" w:hAnsi="宋体" w:eastAsia="宋体"/>
          <w:color w:val="auto"/>
          <w:szCs w:val="21"/>
        </w:rPr>
        <w:t>分、学生自评</w:t>
      </w:r>
      <w:r>
        <w:rPr>
          <w:rFonts w:hint="eastAsia" w:ascii="宋体" w:hAnsi="宋体" w:eastAsia="宋体"/>
          <w:color w:val="auto"/>
          <w:szCs w:val="21"/>
        </w:rPr>
        <w:t>93</w:t>
      </w:r>
      <w:r>
        <w:rPr>
          <w:rFonts w:ascii="宋体" w:hAnsi="宋体" w:eastAsia="宋体"/>
          <w:color w:val="auto"/>
          <w:szCs w:val="21"/>
        </w:rPr>
        <w:t>分、学生互评</w:t>
      </w:r>
      <w:r>
        <w:rPr>
          <w:rFonts w:hint="eastAsia" w:ascii="宋体" w:hAnsi="宋体" w:eastAsia="宋体"/>
          <w:color w:val="auto"/>
          <w:szCs w:val="21"/>
        </w:rPr>
        <w:t>83</w:t>
      </w:r>
      <w:r>
        <w:rPr>
          <w:rFonts w:ascii="宋体" w:hAnsi="宋体" w:eastAsia="宋体"/>
          <w:color w:val="auto"/>
          <w:szCs w:val="21"/>
        </w:rPr>
        <w:t>分。学校认为</w:t>
      </w:r>
      <w:r>
        <w:rPr>
          <w:rFonts w:hint="eastAsia" w:ascii="宋体" w:hAnsi="宋体" w:eastAsia="宋体"/>
          <w:color w:val="auto"/>
          <w:szCs w:val="21"/>
        </w:rPr>
        <w:t>目标达成率在85%-94%之间，产品优化次数较多且有一定效果，能积极推动项目的完善。</w:t>
      </w:r>
      <w:r>
        <w:rPr>
          <w:rFonts w:ascii="宋体" w:hAnsi="宋体" w:eastAsia="宋体"/>
          <w:color w:val="auto"/>
          <w:szCs w:val="21"/>
        </w:rPr>
        <w:t>学生自评</w:t>
      </w:r>
      <w:r>
        <w:rPr>
          <w:rFonts w:hint="eastAsia" w:ascii="宋体" w:hAnsi="宋体" w:eastAsia="宋体"/>
          <w:color w:val="auto"/>
          <w:szCs w:val="21"/>
        </w:rPr>
        <w:t>主动性高，积极主动地寻找问题和改进方向，调整优化效果显著，对项目的提升有重大贡献；</w:t>
      </w:r>
      <w:r>
        <w:rPr>
          <w:rFonts w:ascii="宋体" w:hAnsi="宋体" w:eastAsia="宋体"/>
          <w:color w:val="auto"/>
          <w:szCs w:val="21"/>
        </w:rPr>
        <w:t>学生互评觉得</w:t>
      </w:r>
      <w:r>
        <w:rPr>
          <w:rFonts w:hint="eastAsia" w:ascii="宋体" w:hAnsi="宋体" w:eastAsia="宋体"/>
          <w:color w:val="auto"/>
          <w:szCs w:val="21"/>
        </w:rPr>
        <w:t>调整优化有一定的创新性，方案较合理，能对项目有较好的改进作用，得到大多数人的认可。</w:t>
      </w:r>
      <w:r>
        <w:rPr>
          <w:rFonts w:ascii="宋体" w:hAnsi="宋体" w:eastAsia="宋体"/>
          <w:color w:val="auto"/>
          <w:szCs w:val="21"/>
        </w:rPr>
        <w:t>该生所展现的能力特质与期货交易行业的需求高度契合。在快节奏的交易环境中，既需要敏锐发现问题并即时优化策略的应变能力，也要求具备全局视角进行系统性风险管控。其将创新思维与务实作风相结合的特点，正符合当代金融领域对多元化人才的能力期待。若能进一步将技术优势转化为团队共享资源，通过清晰呈现优化逻辑提升方案传播力，则可有效拓展其影响力边界。参与综合性实战项目，培养跨领域协同能力，将为其迈向交易团队决策层奠定关键基础。</w:t>
      </w:r>
    </w:p>
    <w:p w14:paraId="6918ABF1">
      <w:pPr>
        <w:ind w:firstLine="420"/>
        <w:rPr>
          <w:rFonts w:hint="eastAsia" w:ascii="宋体" w:hAnsi="宋体" w:eastAsia="宋体"/>
          <w:color w:val="auto"/>
          <w:szCs w:val="21"/>
        </w:rPr>
      </w:pPr>
      <w:r>
        <w:rPr>
          <w:rFonts w:hint="eastAsia" w:ascii="宋体" w:hAnsi="宋体" w:eastAsia="宋体"/>
          <w:color w:val="auto"/>
          <w:szCs w:val="21"/>
        </w:rPr>
        <w:t>提升建议：</w:t>
      </w:r>
    </w:p>
    <w:p w14:paraId="43A01C63">
      <w:pPr>
        <w:ind w:firstLine="420"/>
        <w:rPr>
          <w:rFonts w:hint="eastAsia" w:ascii="宋体" w:hAnsi="宋体" w:eastAsia="宋体"/>
          <w:color w:val="auto"/>
          <w:szCs w:val="21"/>
        </w:rPr>
      </w:pPr>
      <w:r>
        <w:rPr>
          <w:rFonts w:hint="eastAsia" w:ascii="宋体" w:hAnsi="宋体" w:eastAsia="宋体"/>
          <w:color w:val="auto"/>
          <w:szCs w:val="21"/>
        </w:rPr>
        <w:t>该生期货交易能力的提升，必须将风险控制作为核心突破口。当前风险控制能力的严重短板，如同木桶的最短板块，若不优先补足，其他优势领域的数据分析、方案定制等能力都将失去实际价值。建议立即开展系统性风控强化训练：首先需建立完整的风险管理框架，从资金管理、仓位控制到止损策略进行全流程重塑。通过历史回测数据分析典型爆仓案例，深刻理解杠杆双刃剑特性，培养"生存第一"的交易理念。</w:t>
      </w:r>
    </w:p>
    <w:p w14:paraId="3FE43309">
      <w:pPr>
        <w:ind w:firstLine="420"/>
        <w:rPr>
          <w:rFonts w:hint="eastAsia" w:ascii="宋体" w:hAnsi="宋体" w:eastAsia="宋体"/>
          <w:color w:val="auto"/>
          <w:szCs w:val="21"/>
        </w:rPr>
      </w:pPr>
      <w:r>
        <w:rPr>
          <w:rFonts w:hint="eastAsia" w:ascii="宋体" w:hAnsi="宋体" w:eastAsia="宋体"/>
          <w:color w:val="auto"/>
          <w:szCs w:val="21"/>
        </w:rPr>
        <w:t>在实操层面，需进行专项风控情景模拟：设置连续亏损、黑天鹅事件、流动性枯竭等极端场景，训练其在压力下的决策能力。要求每日交易前强制完成风险预案报告，明确单笔最大亏损额度、日内最大回撤阈值等关键指标。同时建立交易日志制度，详细记录每笔交易的止损执行情况，定期复盘风控失效案例。</w:t>
      </w:r>
    </w:p>
    <w:p w14:paraId="1555E711">
      <w:pPr>
        <w:ind w:firstLine="420"/>
        <w:rPr>
          <w:rFonts w:hint="eastAsia" w:ascii="宋体" w:hAnsi="宋体" w:eastAsia="宋体"/>
          <w:color w:val="auto"/>
          <w:szCs w:val="21"/>
        </w:rPr>
      </w:pPr>
      <w:r>
        <w:rPr>
          <w:rFonts w:hint="eastAsia" w:ascii="宋体" w:hAnsi="宋体" w:eastAsia="宋体"/>
          <w:color w:val="auto"/>
          <w:szCs w:val="21"/>
        </w:rPr>
        <w:t>特别要将数据分析优势转化为风控助力：利用其99分的数据分析能力，开发风险预警指标系统，通过波动率分析、相关性监测等工具提前识别潜在风险。还可将方案定制能力应用于风控领域，为不同市场环境设计差异化风控方案。最后需加强团队风控意识，通过小组协作演练培养相互监督的风控文化，使风险防范成为交易本能而非外在约束。</w:t>
      </w:r>
      <w:bookmarkStart w:id="0" w:name="_GoBack"/>
      <w:bookmarkEnd w:id="0"/>
    </w:p>
    <w:p w14:paraId="1B8E4148">
      <w:pPr>
        <w:rPr>
          <w:rFonts w:hint="eastAsia" w:ascii="宋体" w:hAnsi="宋体" w:eastAsia="宋体"/>
          <w:color w:val="auto"/>
          <w:szCs w:val="21"/>
        </w:rPr>
      </w:pPr>
    </w:p>
    <w:p w14:paraId="3B6B3349">
      <w:pPr>
        <w:rPr>
          <w:rFonts w:hint="eastAsia" w:ascii="宋体" w:hAnsi="宋体" w:eastAsia="宋体"/>
          <w:color w:val="auto"/>
          <w:szCs w:val="21"/>
        </w:rPr>
      </w:pPr>
    </w:p>
    <w:p w14:paraId="1A9B3FFA">
      <w:pPr>
        <w:rPr>
          <w:rFonts w:hint="eastAsia" w:ascii="宋体" w:hAnsi="宋体" w:eastAsia="宋体"/>
          <w:color w:val="auto"/>
          <w:szCs w:val="21"/>
        </w:rPr>
      </w:pPr>
    </w:p>
    <w:p w14:paraId="50F22619">
      <w:pPr>
        <w:rPr>
          <w:rFonts w:hint="eastAsia" w:ascii="宋体" w:hAnsi="宋体" w:eastAsia="宋体"/>
          <w:color w:val="auto"/>
          <w:szCs w:val="21"/>
        </w:rPr>
      </w:pPr>
    </w:p>
    <w:p w14:paraId="74AC6379">
      <w:pPr>
        <w:rPr>
          <w:rFonts w:hint="eastAsia" w:ascii="宋体" w:hAnsi="宋体" w:eastAsia="宋体"/>
          <w:color w:val="auto"/>
          <w:szCs w:val="21"/>
        </w:rPr>
      </w:pPr>
    </w:p>
    <w:p w14:paraId="526E204C">
      <w:pPr>
        <w:rPr>
          <w:rFonts w:hint="eastAsia" w:ascii="宋体" w:hAnsi="宋体" w:eastAsia="宋体"/>
          <w:color w:val="auto"/>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4C2"/>
    <w:rsid w:val="00004E18"/>
    <w:rsid w:val="0017761A"/>
    <w:rsid w:val="001A2624"/>
    <w:rsid w:val="002F39E8"/>
    <w:rsid w:val="003109C4"/>
    <w:rsid w:val="003861F7"/>
    <w:rsid w:val="004A24BA"/>
    <w:rsid w:val="00533F0A"/>
    <w:rsid w:val="00611A6A"/>
    <w:rsid w:val="0064531A"/>
    <w:rsid w:val="006B52FB"/>
    <w:rsid w:val="00816E86"/>
    <w:rsid w:val="008C3DC0"/>
    <w:rsid w:val="009574C4"/>
    <w:rsid w:val="0096146D"/>
    <w:rsid w:val="00964AF6"/>
    <w:rsid w:val="00AF16F7"/>
    <w:rsid w:val="00B77E98"/>
    <w:rsid w:val="00D974C2"/>
    <w:rsid w:val="00E538E1"/>
    <w:rsid w:val="00F458C5"/>
    <w:rsid w:val="4CA3633A"/>
    <w:rsid w:val="734A58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7"/>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9"/>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0"/>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1"/>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2"/>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3"/>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5"/>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6">
    <w:name w:val="Default Paragraph Font"/>
    <w:semiHidden/>
    <w:unhideWhenUsed/>
    <w:qFormat/>
    <w:uiPriority w:val="1"/>
  </w:style>
  <w:style w:type="table" w:default="1" w:styleId="15">
    <w:name w:val="Normal Table"/>
    <w:semiHidden/>
    <w:unhideWhenUsed/>
    <w:uiPriority w:val="99"/>
    <w:tblPr>
      <w:tblCellMar>
        <w:top w:w="0" w:type="dxa"/>
        <w:left w:w="108" w:type="dxa"/>
        <w:bottom w:w="0" w:type="dxa"/>
        <w:right w:w="108" w:type="dxa"/>
      </w:tblCellMar>
    </w:tblPr>
  </w:style>
  <w:style w:type="paragraph" w:styleId="11">
    <w:name w:val="footer"/>
    <w:basedOn w:val="1"/>
    <w:link w:val="36"/>
    <w:unhideWhenUsed/>
    <w:qFormat/>
    <w:uiPriority w:val="99"/>
    <w:pPr>
      <w:tabs>
        <w:tab w:val="center" w:pos="4153"/>
        <w:tab w:val="right" w:pos="8306"/>
      </w:tabs>
      <w:snapToGrid w:val="0"/>
      <w:jc w:val="left"/>
    </w:pPr>
    <w:rPr>
      <w:sz w:val="18"/>
      <w:szCs w:val="18"/>
    </w:rPr>
  </w:style>
  <w:style w:type="paragraph" w:styleId="12">
    <w:name w:val="header"/>
    <w:basedOn w:val="1"/>
    <w:link w:val="35"/>
    <w:unhideWhenUsed/>
    <w:qFormat/>
    <w:uiPriority w:val="99"/>
    <w:pPr>
      <w:tabs>
        <w:tab w:val="center" w:pos="4153"/>
        <w:tab w:val="right" w:pos="8306"/>
      </w:tabs>
      <w:snapToGrid w:val="0"/>
      <w:jc w:val="center"/>
    </w:pPr>
    <w:rPr>
      <w:sz w:val="18"/>
      <w:szCs w:val="18"/>
    </w:rPr>
  </w:style>
  <w:style w:type="paragraph" w:styleId="13">
    <w:name w:val="Subtitle"/>
    <w:basedOn w:val="1"/>
    <w:next w:val="1"/>
    <w:link w:val="27"/>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6"/>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17">
    <w:name w:val="标题 1 字符"/>
    <w:basedOn w:val="16"/>
    <w:link w:val="2"/>
    <w:qFormat/>
    <w:uiPriority w:val="9"/>
    <w:rPr>
      <w:rFonts w:asciiTheme="majorHAnsi" w:hAnsiTheme="majorHAnsi" w:eastAsiaTheme="majorEastAsia" w:cstheme="majorBidi"/>
      <w:color w:val="104862" w:themeColor="accent1" w:themeShade="BF"/>
      <w:sz w:val="48"/>
      <w:szCs w:val="48"/>
    </w:rPr>
  </w:style>
  <w:style w:type="character" w:customStyle="1" w:styleId="18">
    <w:name w:val="标题 2 字符"/>
    <w:basedOn w:val="16"/>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19">
    <w:name w:val="标题 3 字符"/>
    <w:basedOn w:val="16"/>
    <w:link w:val="4"/>
    <w:semiHidden/>
    <w:uiPriority w:val="9"/>
    <w:rPr>
      <w:rFonts w:asciiTheme="majorHAnsi" w:hAnsiTheme="majorHAnsi" w:eastAsiaTheme="majorEastAsia" w:cstheme="majorBidi"/>
      <w:color w:val="104862" w:themeColor="accent1" w:themeShade="BF"/>
      <w:sz w:val="32"/>
      <w:szCs w:val="32"/>
    </w:rPr>
  </w:style>
  <w:style w:type="character" w:customStyle="1" w:styleId="20">
    <w:name w:val="标题 4 字符"/>
    <w:basedOn w:val="16"/>
    <w:link w:val="5"/>
    <w:semiHidden/>
    <w:qFormat/>
    <w:uiPriority w:val="9"/>
    <w:rPr>
      <w:rFonts w:cstheme="majorBidi"/>
      <w:color w:val="104862" w:themeColor="accent1" w:themeShade="BF"/>
      <w:sz w:val="28"/>
      <w:szCs w:val="28"/>
    </w:rPr>
  </w:style>
  <w:style w:type="character" w:customStyle="1" w:styleId="21">
    <w:name w:val="标题 5 字符"/>
    <w:basedOn w:val="16"/>
    <w:link w:val="6"/>
    <w:semiHidden/>
    <w:qFormat/>
    <w:uiPriority w:val="9"/>
    <w:rPr>
      <w:rFonts w:cstheme="majorBidi"/>
      <w:color w:val="104862" w:themeColor="accent1" w:themeShade="BF"/>
      <w:sz w:val="24"/>
      <w:szCs w:val="24"/>
    </w:rPr>
  </w:style>
  <w:style w:type="character" w:customStyle="1" w:styleId="22">
    <w:name w:val="标题 6 字符"/>
    <w:basedOn w:val="16"/>
    <w:link w:val="7"/>
    <w:semiHidden/>
    <w:uiPriority w:val="9"/>
    <w:rPr>
      <w:rFonts w:cstheme="majorBidi"/>
      <w:b/>
      <w:bCs/>
      <w:color w:val="104862" w:themeColor="accent1" w:themeShade="BF"/>
    </w:rPr>
  </w:style>
  <w:style w:type="character" w:customStyle="1" w:styleId="23">
    <w:name w:val="标题 7 字符"/>
    <w:basedOn w:val="16"/>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6"/>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6"/>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6"/>
    <w:link w:val="14"/>
    <w:qFormat/>
    <w:uiPriority w:val="10"/>
    <w:rPr>
      <w:rFonts w:asciiTheme="majorHAnsi" w:hAnsiTheme="majorHAnsi" w:eastAsiaTheme="majorEastAsia" w:cstheme="majorBidi"/>
      <w:spacing w:val="-10"/>
      <w:kern w:val="28"/>
      <w:sz w:val="56"/>
      <w:szCs w:val="56"/>
    </w:rPr>
  </w:style>
  <w:style w:type="character" w:customStyle="1" w:styleId="27">
    <w:name w:val="副标题 字符"/>
    <w:basedOn w:val="16"/>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引用 字符"/>
    <w:basedOn w:val="16"/>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6"/>
    <w:qFormat/>
    <w:uiPriority w:val="21"/>
    <w:rPr>
      <w:i/>
      <w:iCs/>
      <w:color w:val="104862" w:themeColor="accent1" w:themeShade="BF"/>
    </w:rPr>
  </w:style>
  <w:style w:type="paragraph" w:styleId="32">
    <w:name w:val="Intense Quote"/>
    <w:basedOn w:val="1"/>
    <w:next w:val="1"/>
    <w:link w:val="3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3">
    <w:name w:val="明显引用 字符"/>
    <w:basedOn w:val="16"/>
    <w:link w:val="32"/>
    <w:qFormat/>
    <w:uiPriority w:val="30"/>
    <w:rPr>
      <w:i/>
      <w:iCs/>
      <w:color w:val="104862" w:themeColor="accent1" w:themeShade="BF"/>
    </w:rPr>
  </w:style>
  <w:style w:type="character" w:customStyle="1" w:styleId="34">
    <w:name w:val="Intense Reference"/>
    <w:basedOn w:val="16"/>
    <w:qFormat/>
    <w:uiPriority w:val="32"/>
    <w:rPr>
      <w:b/>
      <w:bCs/>
      <w:smallCaps/>
      <w:color w:val="104862" w:themeColor="accent1" w:themeShade="BF"/>
      <w:spacing w:val="5"/>
    </w:rPr>
  </w:style>
  <w:style w:type="character" w:customStyle="1" w:styleId="35">
    <w:name w:val="页眉 字符"/>
    <w:basedOn w:val="16"/>
    <w:link w:val="12"/>
    <w:qFormat/>
    <w:uiPriority w:val="99"/>
    <w:rPr>
      <w:sz w:val="18"/>
      <w:szCs w:val="18"/>
    </w:rPr>
  </w:style>
  <w:style w:type="character" w:customStyle="1" w:styleId="36">
    <w:name w:val="页脚 字符"/>
    <w:basedOn w:val="16"/>
    <w:link w:val="11"/>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hart" Target="charts/chart5.xml"/><Relationship Id="rId7" Type="http://schemas.openxmlformats.org/officeDocument/2006/relationships/chart" Target="charts/chart4.xml"/><Relationship Id="rId6" Type="http://schemas.openxmlformats.org/officeDocument/2006/relationships/chart" Target="charts/chart3.xml"/><Relationship Id="rId5" Type="http://schemas.openxmlformats.org/officeDocument/2006/relationships/chart" Target="charts/chart2.xml"/><Relationship Id="rId4" Type="http://schemas.openxmlformats.org/officeDocument/2006/relationships/chart" Target="charts/chart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能力评分统计</a:t>
            </a:r>
            <a:endParaRPr lang="zh-CN" altLang="en-US"/>
          </a:p>
        </c:rich>
      </c:tx>
      <c:layout>
        <c:manualLayout>
          <c:xMode val="edge"/>
          <c:yMode val="edge"/>
          <c:x val="0.415187376725838"/>
          <c:y val="0.0259680037097148"/>
        </c:manualLayout>
      </c:layout>
      <c:overlay val="0"/>
      <c:spPr>
        <a:noFill/>
        <a:ln>
          <a:noFill/>
        </a:ln>
        <a:effectLst/>
      </c:spPr>
    </c:title>
    <c:autoTitleDeleted val="0"/>
    <c:plotArea>
      <c:layout/>
      <c:barChart>
        <c:barDir val="col"/>
        <c:grouping val="clustered"/>
        <c:varyColors val="0"/>
        <c:ser>
          <c:idx val="0"/>
          <c:order val="0"/>
          <c:tx>
            <c:strRef>
              <c:f>[李思汉.xlsx]Sheet1!$B$2</c:f>
              <c:strCache>
                <c:ptCount val="1"/>
                <c:pt idx="0">
                  <c:v>学校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[李思汉.xlsx]Sheet1!$B$3:$B$8</c:f>
              <c:numCache>
                <c:formatCode>General</c:formatCode>
                <c:ptCount val="6"/>
                <c:pt idx="0">
                  <c:v>81</c:v>
                </c:pt>
                <c:pt idx="1">
                  <c:v>99</c:v>
                </c:pt>
                <c:pt idx="2">
                  <c:v>38</c:v>
                </c:pt>
                <c:pt idx="3">
                  <c:v>80</c:v>
                </c:pt>
                <c:pt idx="4">
                  <c:v>89</c:v>
                </c:pt>
                <c:pt idx="5">
                  <c:v>85</c:v>
                </c:pt>
              </c:numCache>
            </c:numRef>
          </c:val>
        </c:ser>
        <c:ser>
          <c:idx val="1"/>
          <c:order val="1"/>
          <c:tx>
            <c:strRef>
              <c:f>[李思汉.xlsx]Sheet1!$C$2</c:f>
              <c:strCache>
                <c:ptCount val="1"/>
                <c:pt idx="0">
                  <c:v>企业</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[李思汉.xlsx]Sheet1!$C$3:$C$8</c:f>
              <c:numCache>
                <c:formatCode>General</c:formatCode>
                <c:ptCount val="6"/>
                <c:pt idx="1">
                  <c:v>87</c:v>
                </c:pt>
                <c:pt idx="3">
                  <c:v>90</c:v>
                </c:pt>
              </c:numCache>
            </c:numRef>
          </c:val>
        </c:ser>
        <c:ser>
          <c:idx val="2"/>
          <c:order val="2"/>
          <c:tx>
            <c:strRef>
              <c:f>[李思汉.xlsx]Sheet1!$D$2</c:f>
              <c:strCache>
                <c:ptCount val="1"/>
                <c:pt idx="0">
                  <c:v>学生自评</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[李思汉.xlsx]Sheet1!$D$3:$D$8</c:f>
              <c:numCache>
                <c:formatCode>General</c:formatCode>
                <c:ptCount val="6"/>
                <c:pt idx="5">
                  <c:v>93</c:v>
                </c:pt>
              </c:numCache>
            </c:numRef>
          </c:val>
        </c:ser>
        <c:ser>
          <c:idx val="3"/>
          <c:order val="3"/>
          <c:tx>
            <c:strRef>
              <c:f>[李思汉.xlsx]Sheet1!$E$2</c:f>
              <c:strCache>
                <c:ptCount val="1"/>
                <c:pt idx="0">
                  <c:v>学生互评</c:v>
                </c:pt>
              </c:strCache>
            </c:strRef>
          </c:tx>
          <c:spPr>
            <a:solidFill>
              <a:schemeClr val="accent4"/>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[李思汉.xlsx]Sheet1!$E$3:$E$8</c:f>
              <c:numCache>
                <c:formatCode>General</c:formatCode>
                <c:ptCount val="6"/>
                <c:pt idx="3">
                  <c:v>60</c:v>
                </c:pt>
                <c:pt idx="4">
                  <c:v>70</c:v>
                </c:pt>
                <c:pt idx="5">
                  <c:v>83</c:v>
                </c:pt>
              </c:numCache>
            </c:numRef>
          </c:val>
        </c:ser>
        <c:dLbls>
          <c:showLegendKey val="0"/>
          <c:showVal val="1"/>
          <c:showCatName val="0"/>
          <c:showSerName val="0"/>
          <c:showPercent val="0"/>
          <c:showBubbleSize val="0"/>
        </c:dLbls>
        <c:gapWidth val="246"/>
        <c:overlap val="-28"/>
        <c:axId val="203386760"/>
        <c:axId val="743839038"/>
      </c:barChart>
      <c:catAx>
        <c:axId val="203386760"/>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43839038"/>
        <c:crosses val="autoZero"/>
        <c:auto val="1"/>
        <c:lblAlgn val="ctr"/>
        <c:lblOffset val="100"/>
        <c:noMultiLvlLbl val="0"/>
      </c:catAx>
      <c:valAx>
        <c:axId val="743839038"/>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03386760"/>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e218d40f-1b50-439c-a2f2-467b33be14f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[李思汉.xlsx]Sheet1!$A$4</c:f>
              <c:strCache>
                <c:ptCount val="1"/>
                <c:pt idx="0">
                  <c:v>数据分析</c:v>
                </c:pt>
              </c:strCache>
            </c:strRef>
          </c:tx>
          <c:spPr>
            <a:solidFill>
              <a:schemeClr val="accent1"/>
            </a:solidFill>
            <a:ln>
              <a:noFill/>
            </a:ln>
            <a:effectLst/>
          </c:spPr>
          <c:invertIfNegative val="0"/>
          <c:dLbls>
            <c:delete val="1"/>
          </c:dLbls>
          <c:cat>
            <c:strRef>
              <c:f>[李思汉.xlsx]Sheet1!$B$2:$C$2</c:f>
              <c:strCache>
                <c:ptCount val="2"/>
                <c:pt idx="0">
                  <c:v>学校</c:v>
                </c:pt>
                <c:pt idx="1">
                  <c:v>企业</c:v>
                </c:pt>
              </c:strCache>
            </c:strRef>
          </c:cat>
          <c:val>
            <c:numRef>
              <c:f>[李思汉.xlsx]Sheet1!$B$4:$C$4</c:f>
              <c:numCache>
                <c:formatCode>General</c:formatCode>
                <c:ptCount val="2"/>
                <c:pt idx="0">
                  <c:v>99</c:v>
                </c:pt>
                <c:pt idx="1">
                  <c:v>87</c:v>
                </c:pt>
              </c:numCache>
            </c:numRef>
          </c:val>
        </c:ser>
        <c:dLbls>
          <c:showLegendKey val="0"/>
          <c:showVal val="0"/>
          <c:showCatName val="0"/>
          <c:showSerName val="0"/>
          <c:showPercent val="0"/>
          <c:showBubbleSize val="0"/>
        </c:dLbls>
        <c:gapWidth val="246"/>
        <c:overlap val="-28"/>
        <c:axId val="24630519"/>
        <c:axId val="297821557"/>
      </c:barChart>
      <c:catAx>
        <c:axId val="24630519"/>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97821557"/>
        <c:crosses val="autoZero"/>
        <c:auto val="1"/>
        <c:lblAlgn val="ctr"/>
        <c:lblOffset val="100"/>
        <c:noMultiLvlLbl val="0"/>
      </c:catAx>
      <c:valAx>
        <c:axId val="297821557"/>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4630519"/>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b1e14a71-7c18-443d-a953-80f254976736}"/>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[李思汉.xlsx]Sheet1!$A$6</c:f>
              <c:strCache>
                <c:ptCount val="1"/>
                <c:pt idx="0">
                  <c:v>方案定制</c:v>
                </c:pt>
              </c:strCache>
            </c:strRef>
          </c:tx>
          <c:spPr>
            <a:solidFill>
              <a:schemeClr val="accent1"/>
            </a:solidFill>
            <a:ln>
              <a:noFill/>
            </a:ln>
            <a:effectLst/>
          </c:spPr>
          <c:invertIfNegative val="0"/>
          <c:dLbls>
            <c:delete val="1"/>
          </c:dLbls>
          <c:cat>
            <c:strRef>
              <c:f>[李思汉.xlsx]Sheet1!$B$2:$E$2</c:f>
              <c:strCache>
                <c:ptCount val="3"/>
                <c:pt idx="0">
                  <c:v>学校</c:v>
                </c:pt>
                <c:pt idx="1">
                  <c:v>企业</c:v>
                </c:pt>
                <c:pt idx="2">
                  <c:v>学生互评</c:v>
                </c:pt>
              </c:strCache>
            </c:strRef>
          </c:cat>
          <c:val>
            <c:numRef>
              <c:f>Sheet1!$B$6:$E$6</c:f>
              <c:numCache>
                <c:formatCode>General</c:formatCode>
                <c:ptCount val="3"/>
                <c:pt idx="0">
                  <c:v>80</c:v>
                </c:pt>
                <c:pt idx="1">
                  <c:v>90</c:v>
                </c:pt>
                <c:pt idx="2">
                  <c:v>60</c:v>
                </c:pt>
              </c:numCache>
            </c:numRef>
          </c:val>
        </c:ser>
        <c:dLbls>
          <c:showLegendKey val="0"/>
          <c:showVal val="0"/>
          <c:showCatName val="0"/>
          <c:showSerName val="0"/>
          <c:showPercent val="0"/>
          <c:showBubbleSize val="0"/>
        </c:dLbls>
        <c:gapWidth val="246"/>
        <c:overlap val="-28"/>
        <c:axId val="402746300"/>
        <c:axId val="36236549"/>
      </c:barChart>
      <c:catAx>
        <c:axId val="402746300"/>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6236549"/>
        <c:crosses val="autoZero"/>
        <c:auto val="1"/>
        <c:lblAlgn val="ctr"/>
        <c:lblOffset val="100"/>
        <c:noMultiLvlLbl val="0"/>
      </c:catAx>
      <c:valAx>
        <c:axId val="36236549"/>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02746300"/>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8c79d06-7211-4976-8d77-bce36373f27b}"/>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[李思汉.xlsx]Sheet1!$A$7</c:f>
              <c:strCache>
                <c:ptCount val="1"/>
                <c:pt idx="0">
                  <c:v>工具实操</c:v>
                </c:pt>
              </c:strCache>
            </c:strRef>
          </c:tx>
          <c:spPr>
            <a:solidFill>
              <a:schemeClr val="accent1"/>
            </a:solidFill>
            <a:ln>
              <a:noFill/>
            </a:ln>
            <a:effectLst/>
          </c:spPr>
          <c:invertIfNegative val="0"/>
          <c:dLbls>
            <c:delete val="1"/>
          </c:dLbls>
          <c:cat>
            <c:strRef>
              <c:f>[李思汉.xlsx]Sheet1!$B$2:$E$2</c:f>
              <c:strCache>
                <c:ptCount val="2"/>
                <c:pt idx="0">
                  <c:v>学校</c:v>
                </c:pt>
                <c:pt idx="1">
                  <c:v>学生互评</c:v>
                </c:pt>
              </c:strCache>
            </c:strRef>
          </c:cat>
          <c:val>
            <c:numRef>
              <c:f>Sheet1!$B$7:$E$7</c:f>
              <c:numCache>
                <c:formatCode>General</c:formatCode>
                <c:ptCount val="2"/>
                <c:pt idx="0">
                  <c:v>89</c:v>
                </c:pt>
                <c:pt idx="1">
                  <c:v>70</c:v>
                </c:pt>
              </c:numCache>
            </c:numRef>
          </c:val>
        </c:ser>
        <c:dLbls>
          <c:showLegendKey val="0"/>
          <c:showVal val="0"/>
          <c:showCatName val="0"/>
          <c:showSerName val="0"/>
          <c:showPercent val="0"/>
          <c:showBubbleSize val="0"/>
        </c:dLbls>
        <c:gapWidth val="246"/>
        <c:overlap val="-28"/>
        <c:axId val="880187376"/>
        <c:axId val="741032475"/>
      </c:barChart>
      <c:catAx>
        <c:axId val="88018737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41032475"/>
        <c:crosses val="autoZero"/>
        <c:auto val="1"/>
        <c:lblAlgn val="ctr"/>
        <c:lblOffset val="100"/>
        <c:noMultiLvlLbl val="0"/>
      </c:catAx>
      <c:valAx>
        <c:axId val="741032475"/>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80187376"/>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d3fb2d4c-fd46-474f-929f-fcb58aa9ee7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[李思汉.xlsx]Sheet1!$A$8</c:f>
              <c:strCache>
                <c:ptCount val="1"/>
                <c:pt idx="0">
                  <c:v>调整优化</c:v>
                </c:pt>
              </c:strCache>
            </c:strRef>
          </c:tx>
          <c:spPr>
            <a:solidFill>
              <a:schemeClr val="accent1"/>
            </a:solidFill>
            <a:ln>
              <a:noFill/>
            </a:ln>
            <a:effectLst/>
          </c:spPr>
          <c:invertIfNegative val="0"/>
          <c:dLbls>
            <c:delete val="1"/>
          </c:dLbls>
          <c:cat>
            <c:strRef>
              <c:f>[李思汉.xlsx]Sheet1!$B$2:$E$2</c:f>
              <c:strCache>
                <c:ptCount val="3"/>
                <c:pt idx="0">
                  <c:v>学校</c:v>
                </c:pt>
                <c:pt idx="1">
                  <c:v>学生自评</c:v>
                </c:pt>
                <c:pt idx="2">
                  <c:v>学生互评</c:v>
                </c:pt>
              </c:strCache>
            </c:strRef>
          </c:cat>
          <c:val>
            <c:numRef>
              <c:f>Sheet1!$B$8:$E$8</c:f>
              <c:numCache>
                <c:formatCode>General</c:formatCode>
                <c:ptCount val="3"/>
                <c:pt idx="0">
                  <c:v>85</c:v>
                </c:pt>
                <c:pt idx="1">
                  <c:v>93</c:v>
                </c:pt>
                <c:pt idx="2">
                  <c:v>83</c:v>
                </c:pt>
              </c:numCache>
            </c:numRef>
          </c:val>
        </c:ser>
        <c:dLbls>
          <c:showLegendKey val="0"/>
          <c:showVal val="0"/>
          <c:showCatName val="0"/>
          <c:showSerName val="0"/>
          <c:showPercent val="0"/>
          <c:showBubbleSize val="0"/>
        </c:dLbls>
        <c:gapWidth val="246"/>
        <c:overlap val="-28"/>
        <c:axId val="943415063"/>
        <c:axId val="850932030"/>
      </c:barChart>
      <c:catAx>
        <c:axId val="943415063"/>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50932030"/>
        <c:crosses val="autoZero"/>
        <c:auto val="1"/>
        <c:lblAlgn val="ctr"/>
        <c:lblOffset val="100"/>
        <c:noMultiLvlLbl val="0"/>
      </c:catAx>
      <c:valAx>
        <c:axId val="85093203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434150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3930a9da-67b8-4a72-9e57-2b52dea079e0}"/>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2849</Words>
  <Characters>2905</Characters>
  <Lines>76</Lines>
  <Paragraphs>53</Paragraphs>
  <TotalTime>54</TotalTime>
  <ScaleCrop>false</ScaleCrop>
  <LinksUpToDate>false</LinksUpToDate>
  <CharactersWithSpaces>2905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2025-09-27T14:17:00Z</dcterms:created>
  <dc:creator>庆敏 侯</dc:creator>
  <cp:lastModifiedBy>Sternstunde</cp:lastModifiedBy>
  <dcterms:modified xsi:type="dcterms:W3CDTF">2025-09-29T12:30:00Z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eyJoZGlkIjoiZWQyMWE4Zjg0MmRlODNhZGU0MGE5ODQ2MWVhMzIzM2EiLCJ1c2VySWQiOiI0Mjk5MDk4NDUifQ==</vt:lpwstr>
  </property>
  <property fmtid="{D5CDD505-2E9C-101B-9397-08002B2CF9AE}" pid="3" name="KSOProductBuildVer">
    <vt:lpwstr>2052-12.1.0.23125</vt:lpwstr>
  </property>
  <property fmtid="{D5CDD505-2E9C-101B-9397-08002B2CF9AE}" pid="4" name="ICV">
    <vt:lpwstr>6A3180FE58644CD7BD00260EDCEC8894_13</vt:lpwstr>
  </property>
</Properties>
</file>