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E3823C">
      <w:pPr>
        <w:jc w:val="center"/>
        <w:rPr>
          <w:rFonts w:hint="eastAsia" w:ascii="宋体" w:hAnsi="宋体" w:eastAsia="宋体"/>
          <w:color w:val="auto"/>
          <w:szCs w:val="21"/>
        </w:rPr>
      </w:pPr>
      <w:r>
        <w:rPr>
          <w:rFonts w:hint="eastAsia" w:ascii="宋体" w:hAnsi="宋体" w:eastAsia="宋体"/>
          <w:color w:val="auto"/>
          <w:szCs w:val="21"/>
        </w:rPr>
        <w:t>期货模拟交易大赛实战--能力分析报告</w:t>
      </w:r>
    </w:p>
    <w:p w14:paraId="48080AAB">
      <w:pPr>
        <w:rPr>
          <w:rFonts w:hint="eastAsia" w:ascii="宋体" w:hAnsi="宋体" w:eastAsia="宋体"/>
          <w:color w:val="auto"/>
          <w:szCs w:val="21"/>
          <w:lang w:eastAsia="zh-CN"/>
        </w:rPr>
      </w:pPr>
      <w:r>
        <w:rPr>
          <w:rFonts w:hint="eastAsia" w:ascii="宋体" w:hAnsi="宋体" w:eastAsia="宋体"/>
          <w:color w:val="auto"/>
          <w:szCs w:val="21"/>
        </w:rPr>
        <w:t>学号：233061301123</w:t>
      </w:r>
    </w:p>
    <w:p w14:paraId="778E17E9">
      <w:pPr>
        <w:rPr>
          <w:rFonts w:hint="eastAsia" w:ascii="宋体" w:hAnsi="宋体" w:eastAsia="宋体"/>
          <w:color w:val="auto"/>
          <w:szCs w:val="21"/>
        </w:rPr>
      </w:pPr>
      <w:r>
        <w:rPr>
          <w:rFonts w:hint="eastAsia" w:ascii="宋体" w:hAnsi="宋体" w:eastAsia="宋体"/>
          <w:color w:val="auto"/>
          <w:szCs w:val="21"/>
        </w:rPr>
        <w:t>姓名：石竹庭</w:t>
      </w:r>
    </w:p>
    <w:p w14:paraId="21384506">
      <w:pPr>
        <w:rPr>
          <w:rFonts w:hint="eastAsia" w:ascii="宋体" w:hAnsi="宋体" w:eastAsia="宋体"/>
          <w:color w:val="auto"/>
          <w:szCs w:val="21"/>
        </w:rPr>
      </w:pPr>
      <w:r>
        <w:rPr>
          <w:rFonts w:hint="eastAsia" w:ascii="宋体" w:hAnsi="宋体" w:eastAsia="宋体"/>
          <w:color w:val="auto"/>
          <w:szCs w:val="21"/>
        </w:rPr>
        <w:t>总分：89（详见项目评分标准）</w:t>
      </w:r>
    </w:p>
    <w:p w14:paraId="06BCC8EE">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297313905"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13750C75">
      <w:pPr>
        <w:rPr>
          <w:rFonts w:hint="eastAsia" w:ascii="宋体" w:hAnsi="宋体" w:eastAsia="宋体"/>
          <w:color w:val="auto"/>
          <w:szCs w:val="21"/>
        </w:rPr>
      </w:pPr>
      <w:r>
        <w:rPr>
          <w:rFonts w:hint="eastAsia" w:ascii="宋体" w:hAnsi="宋体" w:eastAsia="宋体"/>
          <w:color w:val="auto"/>
          <w:szCs w:val="21"/>
        </w:rPr>
        <w:t>从整体来看：</w:t>
      </w:r>
    </w:p>
    <w:p w14:paraId="4FE6FE6A">
      <w:pPr>
        <w:rPr>
          <w:rFonts w:hint="eastAsia" w:ascii="宋体" w:hAnsi="宋体" w:eastAsia="宋体"/>
          <w:color w:val="auto"/>
          <w:szCs w:val="21"/>
        </w:rPr>
      </w:pPr>
      <w:r>
        <w:rPr>
          <w:rFonts w:ascii="宋体" w:hAnsi="宋体" w:eastAsia="宋体"/>
          <w:color w:val="auto"/>
          <w:szCs w:val="21"/>
        </w:rPr>
        <w:t>优势</w:t>
      </w:r>
      <w:r>
        <w:rPr>
          <w:rFonts w:ascii="宋体" w:hAnsi="宋体" w:eastAsia="宋体"/>
          <w:color w:val="auto"/>
          <w:szCs w:val="21"/>
        </w:rPr>
        <w:br w:type="textWrapping"/>
      </w:r>
      <w:r>
        <w:rPr>
          <w:rFonts w:ascii="宋体" w:hAnsi="宋体" w:eastAsia="宋体"/>
          <w:color w:val="auto"/>
          <w:szCs w:val="21"/>
        </w:rPr>
        <w:t>该生在期货交易课程中展现出卓越的风险控制能力与扎实的系统操作基础，显示出对市场波动具有出色的管理能力和稳健的交易执行水平。在工具实操和方案定制方面获得团队高度认可，反映出强大的协作精神和实践应用能力。特别值得注意的是，该生在调整优化环节展现出显著的创新思维与策略灵活性，能够根据市场变化快速优化交易方案，这种动态适应能力使其在团队中发挥关键作用。</w:t>
      </w:r>
    </w:p>
    <w:p w14:paraId="6BBB03EB">
      <w:pPr>
        <w:rPr>
          <w:rFonts w:hint="eastAsia" w:ascii="宋体" w:hAnsi="宋体" w:eastAsia="宋体"/>
          <w:color w:val="auto"/>
          <w:szCs w:val="21"/>
        </w:rPr>
      </w:pPr>
      <w:r>
        <w:rPr>
          <w:rFonts w:ascii="宋体" w:hAnsi="宋体" w:eastAsia="宋体"/>
          <w:color w:val="auto"/>
          <w:szCs w:val="21"/>
        </w:rPr>
        <w:t>短板</w:t>
      </w:r>
      <w:r>
        <w:rPr>
          <w:rFonts w:ascii="宋体" w:hAnsi="宋体" w:eastAsia="宋体"/>
          <w:color w:val="auto"/>
          <w:szCs w:val="21"/>
        </w:rPr>
        <w:br w:type="textWrapping"/>
      </w:r>
      <w:r>
        <w:rPr>
          <w:rFonts w:ascii="宋体" w:hAnsi="宋体" w:eastAsia="宋体"/>
          <w:color w:val="auto"/>
          <w:szCs w:val="21"/>
        </w:rPr>
        <w:t>尽管在多项核心能力上表现突出，该生在数据分析与方案定制的企业评价方面仍存在提升空间，显示出理论应用与实战需求之间尚需进一步融合。虽然系统操作基础扎实，但在面对复杂市场环境时，其数据分析的深度与精准度仍需加强，以更好地支撑交易决策。此外，尽管团队评价普遍较高，但个人能力与企业实际要求之间仍需更紧密的对接，这将有助于进一步提升其专业能力的市场适应性。</w:t>
      </w:r>
    </w:p>
    <w:p w14:paraId="67D91AED">
      <w:pPr>
        <w:rPr>
          <w:rFonts w:hint="eastAsia" w:ascii="宋体" w:hAnsi="宋体" w:eastAsia="宋体"/>
          <w:color w:val="auto"/>
          <w:szCs w:val="21"/>
        </w:rPr>
      </w:pPr>
    </w:p>
    <w:p w14:paraId="0EEAE8BE">
      <w:pPr>
        <w:rPr>
          <w:rFonts w:hint="eastAsia" w:ascii="宋体" w:hAnsi="宋体" w:eastAsia="宋体"/>
          <w:color w:val="auto"/>
          <w:szCs w:val="21"/>
        </w:rPr>
      </w:pPr>
      <w:r>
        <w:rPr>
          <w:rFonts w:hint="eastAsia" w:ascii="宋体" w:hAnsi="宋体" w:eastAsia="宋体"/>
          <w:color w:val="auto"/>
          <w:szCs w:val="21"/>
        </w:rPr>
        <w:t>具体来看：</w:t>
      </w:r>
    </w:p>
    <w:p w14:paraId="64EF710D">
      <w:pPr>
        <w:rPr>
          <w:rFonts w:hint="eastAsia" w:ascii="宋体" w:hAnsi="宋体" w:eastAsia="宋体"/>
          <w:color w:val="auto"/>
          <w:szCs w:val="21"/>
        </w:rPr>
      </w:pPr>
      <w:r>
        <w:rPr>
          <w:rFonts w:hint="eastAsia" w:ascii="宋体" w:hAnsi="宋体" w:eastAsia="宋体"/>
          <w:color w:val="auto"/>
          <w:szCs w:val="21"/>
        </w:rPr>
        <w:t>系统操作能力</w:t>
      </w:r>
    </w:p>
    <w:p w14:paraId="50D0EA1F">
      <w:pPr>
        <w:ind w:firstLine="420"/>
        <w:rPr>
          <w:rFonts w:hint="eastAsia" w:ascii="宋体" w:hAnsi="宋体" w:eastAsia="宋体"/>
          <w:color w:val="auto"/>
          <w:szCs w:val="21"/>
        </w:rPr>
      </w:pPr>
      <w:r>
        <w:rPr>
          <w:rFonts w:ascii="宋体" w:hAnsi="宋体" w:eastAsia="宋体"/>
          <w:color w:val="auto"/>
          <w:szCs w:val="21"/>
        </w:rPr>
        <w:t>在系统操作能力上，学校给出了</w:t>
      </w:r>
      <w:r>
        <w:rPr>
          <w:rFonts w:hint="eastAsia" w:ascii="宋体" w:hAnsi="宋体" w:eastAsia="宋体"/>
          <w:color w:val="auto"/>
          <w:szCs w:val="21"/>
        </w:rPr>
        <w:t>89</w:t>
      </w:r>
      <w:r>
        <w:rPr>
          <w:rFonts w:ascii="宋体" w:hAnsi="宋体" w:eastAsia="宋体"/>
          <w:color w:val="auto"/>
          <w:szCs w:val="21"/>
        </w:rPr>
        <w:t>分的评价。这意味着</w:t>
      </w:r>
      <w:r>
        <w:rPr>
          <w:rFonts w:hint="eastAsia" w:ascii="宋体" w:hAnsi="宋体" w:eastAsia="宋体"/>
          <w:color w:val="auto"/>
          <w:szCs w:val="21"/>
        </w:rPr>
        <w:t>在规定时间内，该学生能高效且准确地完成复杂金融业务操作任务，正确率达到95%及以上，操作流程熟练流畅，对系统功能的运用精准且全面，能快速应对并解决操作过程中出现的突发小问题。</w:t>
      </w:r>
    </w:p>
    <w:p w14:paraId="334398C7">
      <w:pPr>
        <w:ind w:firstLine="420"/>
        <w:rPr>
          <w:rFonts w:hint="eastAsia" w:ascii="宋体" w:hAnsi="宋体" w:eastAsia="宋体"/>
          <w:color w:val="auto"/>
          <w:szCs w:val="21"/>
        </w:rPr>
      </w:pPr>
      <w:r>
        <w:rPr>
          <w:rFonts w:ascii="宋体" w:hAnsi="宋体" w:eastAsia="宋体"/>
          <w:color w:val="auto"/>
          <w:szCs w:val="21"/>
        </w:rPr>
        <w:t>该同学在期货交易课程中展现出卓越的系统操作能力，对交易平台的各项功能掌握纯熟。无论是订单执行、参数设置还是数据提取，均能精准高效地完成，操作流畅度与稳定性令人印象深刻。这种扎实的技术功底为其在模拟交易中取得优异成绩奠定了坚实基础，也展现出优秀的职业潜力。</w:t>
      </w:r>
    </w:p>
    <w:p w14:paraId="4FA818C6">
      <w:pPr>
        <w:ind w:firstLine="420"/>
        <w:rPr>
          <w:rFonts w:hint="eastAsia" w:ascii="宋体" w:hAnsi="宋体" w:eastAsia="宋体"/>
          <w:color w:val="auto"/>
          <w:szCs w:val="21"/>
        </w:rPr>
      </w:pPr>
      <w:r>
        <w:rPr>
          <w:rFonts w:hint="eastAsia" w:ascii="宋体" w:hAnsi="宋体" w:eastAsia="宋体"/>
          <w:color w:val="auto"/>
          <w:szCs w:val="21"/>
        </w:rPr>
        <w:t>数据分析能力</w:t>
      </w:r>
    </w:p>
    <w:p w14:paraId="7ECB385F">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55108343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B0082FF">
      <w:pPr>
        <w:ind w:firstLine="420"/>
        <w:rPr>
          <w:rFonts w:hint="eastAsia" w:ascii="宋体" w:hAnsi="宋体" w:eastAsia="宋体"/>
          <w:color w:val="auto"/>
          <w:szCs w:val="21"/>
        </w:rPr>
      </w:pPr>
      <w:r>
        <w:rPr>
          <w:rFonts w:hint="eastAsia" w:ascii="宋体" w:hAnsi="宋体" w:eastAsia="宋体"/>
          <w:color w:val="auto"/>
          <w:szCs w:val="21"/>
        </w:rPr>
        <w:t>数据分析能力学校给出82分，企业给出80分。</w:t>
      </w:r>
      <w:r>
        <w:rPr>
          <w:rFonts w:ascii="宋体" w:hAnsi="宋体" w:eastAsia="宋体"/>
          <w:color w:val="auto"/>
          <w:szCs w:val="21"/>
        </w:rPr>
        <w:t>学校方面认为，</w:t>
      </w:r>
      <w:r>
        <w:rPr>
          <w:rFonts w:hint="eastAsia" w:ascii="宋体" w:hAnsi="宋体" w:eastAsia="宋体"/>
          <w:color w:val="auto"/>
          <w:szCs w:val="21"/>
        </w:rPr>
        <w:t>报告分析方法较合理，对数据的分析较深入，结论较可靠，能为决策提供一定参考</w:t>
      </w:r>
      <w:r>
        <w:rPr>
          <w:rFonts w:ascii="宋体" w:hAnsi="宋体" w:eastAsia="宋体"/>
          <w:color w:val="auto"/>
          <w:szCs w:val="21"/>
        </w:rPr>
        <w:t>；而企业方则指出，该</w:t>
      </w:r>
      <w:r>
        <w:rPr>
          <w:rFonts w:hint="eastAsia" w:ascii="宋体" w:hAnsi="宋体" w:eastAsia="宋体"/>
          <w:color w:val="auto"/>
          <w:szCs w:val="21"/>
        </w:rPr>
        <w:t>数据分析结果对企业业务有较大指导价值，能为企业的部分决策提供帮助</w:t>
      </w:r>
      <w:r>
        <w:rPr>
          <w:rFonts w:ascii="宋体" w:hAnsi="宋体" w:eastAsia="宋体"/>
          <w:color w:val="auto"/>
          <w:szCs w:val="21"/>
        </w:rPr>
        <w:t>。这一方面反映出该生已具备扎实的数据分析理论基础与方法论素养，另一方面也表明其初步具备了将理论知识转化为商业洞察的实践能力，形成了学术价值与应用价值的双重优势。</w:t>
      </w:r>
    </w:p>
    <w:p w14:paraId="5B2FB592">
      <w:pPr>
        <w:ind w:firstLine="420"/>
        <w:rPr>
          <w:rFonts w:hint="eastAsia" w:ascii="宋体" w:hAnsi="宋体" w:eastAsia="宋体"/>
          <w:color w:val="auto"/>
          <w:szCs w:val="21"/>
        </w:rPr>
      </w:pPr>
      <w:r>
        <w:rPr>
          <w:rFonts w:hint="eastAsia" w:ascii="宋体" w:hAnsi="宋体" w:eastAsia="宋体"/>
          <w:color w:val="auto"/>
          <w:szCs w:val="21"/>
        </w:rPr>
        <w:t>风险控制能力</w:t>
      </w:r>
    </w:p>
    <w:p w14:paraId="50558997">
      <w:pPr>
        <w:ind w:firstLine="420"/>
        <w:rPr>
          <w:rFonts w:hint="eastAsia" w:ascii="宋体" w:hAnsi="宋体" w:eastAsia="宋体"/>
          <w:color w:val="auto"/>
          <w:szCs w:val="21"/>
        </w:rPr>
      </w:pPr>
      <w:r>
        <w:rPr>
          <w:rFonts w:ascii="宋体" w:hAnsi="宋体" w:eastAsia="宋体"/>
          <w:color w:val="auto"/>
          <w:szCs w:val="21"/>
        </w:rPr>
        <w:t>风险控制能力学校评分为</w:t>
      </w:r>
      <w:r>
        <w:rPr>
          <w:rFonts w:hint="eastAsia" w:ascii="宋体" w:hAnsi="宋体" w:eastAsia="宋体"/>
          <w:color w:val="auto"/>
          <w:szCs w:val="21"/>
        </w:rPr>
        <w:t>99</w:t>
      </w:r>
      <w:r>
        <w:rPr>
          <w:rFonts w:ascii="宋体" w:hAnsi="宋体" w:eastAsia="宋体"/>
          <w:color w:val="auto"/>
          <w:szCs w:val="21"/>
        </w:rPr>
        <w:t>分，说明学生在风险发生时</w:t>
      </w:r>
      <w:r>
        <w:rPr>
          <w:rFonts w:hint="eastAsia" w:ascii="宋体" w:hAnsi="宋体" w:eastAsia="宋体"/>
          <w:color w:val="auto"/>
          <w:szCs w:val="21"/>
        </w:rPr>
        <w:t>能较快采取控制措施，及时率和准确率均在85%-94%之间，能有效控制风险。</w:t>
      </w:r>
      <w:r>
        <w:rPr>
          <w:rFonts w:ascii="宋体" w:hAnsi="宋体" w:eastAsia="宋体"/>
          <w:color w:val="auto"/>
          <w:szCs w:val="21"/>
        </w:rPr>
        <w:t>该生现已熟练掌握风险管理的基本规范与操作流程，在常规市场条件下能够依规执行有效的风险控制措施。然而，当面临市场剧烈波动或结构性风险事件时，其在快速决策与精准应对方面仍显不足。为此，需通过组织有针对性的极端市场情景模拟及压力应对训练，重点提升其对复杂风险态势的敏锐感知与快速处置能力，从而推动风险管理工作由事后应对向事前预警、事中干预的主动管理模式转变，逐步建立起更加灵活、稳健且具有前瞻性的风险管理机制。</w:t>
      </w:r>
    </w:p>
    <w:p w14:paraId="7C8C40BD">
      <w:pPr>
        <w:ind w:firstLine="420"/>
        <w:rPr>
          <w:rFonts w:hint="eastAsia" w:ascii="宋体" w:hAnsi="宋体" w:eastAsia="宋体"/>
          <w:color w:val="auto"/>
          <w:szCs w:val="21"/>
        </w:rPr>
      </w:pPr>
      <w:r>
        <w:rPr>
          <w:rFonts w:hint="eastAsia" w:ascii="宋体" w:hAnsi="宋体" w:eastAsia="宋体"/>
          <w:color w:val="auto"/>
          <w:szCs w:val="21"/>
        </w:rPr>
        <w:t>方案定制能力</w:t>
      </w:r>
    </w:p>
    <w:p w14:paraId="2B9C9F87">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299209396"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C56D14A">
      <w:pPr>
        <w:ind w:firstLine="420"/>
        <w:rPr>
          <w:rFonts w:hint="eastAsia" w:ascii="宋体" w:hAnsi="宋体" w:eastAsia="宋体"/>
          <w:color w:val="auto"/>
          <w:szCs w:val="21"/>
        </w:rPr>
      </w:pPr>
      <w:r>
        <w:rPr>
          <w:rFonts w:ascii="宋体" w:hAnsi="宋体" w:eastAsia="宋体"/>
          <w:color w:val="auto"/>
          <w:szCs w:val="21"/>
        </w:rPr>
        <w:t>方案定制能力方面，学校评分为</w:t>
      </w:r>
      <w:r>
        <w:rPr>
          <w:rFonts w:hint="eastAsia" w:ascii="宋体" w:hAnsi="宋体" w:eastAsia="宋体"/>
          <w:color w:val="auto"/>
          <w:szCs w:val="21"/>
        </w:rPr>
        <w:t>75</w:t>
      </w:r>
      <w:r>
        <w:rPr>
          <w:rFonts w:ascii="宋体" w:hAnsi="宋体" w:eastAsia="宋体"/>
          <w:color w:val="auto"/>
          <w:szCs w:val="21"/>
        </w:rPr>
        <w:t>分，企业评分为</w:t>
      </w:r>
      <w:r>
        <w:rPr>
          <w:rFonts w:hint="eastAsia" w:ascii="宋体" w:hAnsi="宋体" w:eastAsia="宋体"/>
          <w:color w:val="auto"/>
          <w:szCs w:val="21"/>
        </w:rPr>
        <w:t>89</w:t>
      </w:r>
      <w:r>
        <w:rPr>
          <w:rFonts w:ascii="宋体" w:hAnsi="宋体" w:eastAsia="宋体"/>
          <w:color w:val="auto"/>
          <w:szCs w:val="21"/>
        </w:rPr>
        <w:t>分，学生互评得分为</w:t>
      </w:r>
      <w:r>
        <w:rPr>
          <w:rFonts w:hint="eastAsia" w:ascii="宋体" w:hAnsi="宋体" w:eastAsia="宋体"/>
          <w:color w:val="auto"/>
          <w:szCs w:val="21"/>
        </w:rPr>
        <w:t>99</w:t>
      </w:r>
      <w:r>
        <w:rPr>
          <w:rFonts w:ascii="宋体" w:hAnsi="宋体" w:eastAsia="宋体"/>
          <w:color w:val="auto"/>
          <w:szCs w:val="21"/>
        </w:rPr>
        <w:t>分。学校方面认为</w:t>
      </w:r>
      <w:r>
        <w:rPr>
          <w:rFonts w:hint="eastAsia" w:ascii="宋体" w:hAnsi="宋体" w:eastAsia="宋体"/>
          <w:color w:val="auto"/>
          <w:szCs w:val="21"/>
        </w:rPr>
        <w:t>方案基本完整，采用常规方法设计，有一定的可行性，能为客户提供一般性的金融服务</w:t>
      </w:r>
      <w:r>
        <w:rPr>
          <w:rFonts w:ascii="宋体" w:hAnsi="宋体" w:eastAsia="宋体"/>
          <w:color w:val="auto"/>
          <w:szCs w:val="21"/>
        </w:rPr>
        <w:t>；企业评价指出</w:t>
      </w:r>
      <w:r>
        <w:rPr>
          <w:rFonts w:hint="eastAsia" w:ascii="宋体" w:hAnsi="宋体" w:eastAsia="宋体"/>
          <w:color w:val="auto"/>
          <w:szCs w:val="21"/>
        </w:rPr>
        <w:t>方案与客户反馈匹配度较高，能较好地满足客户需求，客户评价较好</w:t>
      </w:r>
      <w:r>
        <w:rPr>
          <w:rFonts w:ascii="宋体" w:hAnsi="宋体" w:eastAsia="宋体"/>
          <w:color w:val="auto"/>
          <w:szCs w:val="21"/>
        </w:rPr>
        <w:t>；学生互评则反映</w:t>
      </w:r>
      <w:r>
        <w:rPr>
          <w:rFonts w:hint="eastAsia" w:ascii="宋体" w:hAnsi="宋体" w:eastAsia="宋体"/>
          <w:color w:val="auto"/>
          <w:szCs w:val="21"/>
        </w:rPr>
        <w:t>方案具有很强的创新性，针对客户的特殊需求设计，实用性高，能有效解决客户的实际问题，对其他同学有很好的借鉴作用。</w:t>
      </w:r>
    </w:p>
    <w:p w14:paraId="5C8FECEA">
      <w:pPr>
        <w:ind w:firstLine="420"/>
        <w:rPr>
          <w:rFonts w:hint="eastAsia" w:ascii="宋体" w:hAnsi="宋体" w:eastAsia="宋体"/>
          <w:color w:val="auto"/>
          <w:szCs w:val="21"/>
        </w:rPr>
      </w:pPr>
      <w:r>
        <w:rPr>
          <w:rFonts w:hint="eastAsia" w:ascii="宋体" w:hAnsi="宋体" w:eastAsia="宋体"/>
          <w:color w:val="auto"/>
          <w:szCs w:val="21"/>
        </w:rPr>
        <w:t>工具实操能力</w:t>
      </w:r>
    </w:p>
    <w:p w14:paraId="1880B430">
      <w:pPr>
        <w:ind w:firstLine="420"/>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50820"/>
            <wp:effectExtent l="0" t="0" r="12700" b="11430"/>
            <wp:docPr id="99962974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C8D4D7D">
      <w:pPr>
        <w:ind w:firstLine="420"/>
        <w:rPr>
          <w:rFonts w:hint="eastAsia" w:ascii="宋体" w:hAnsi="宋体" w:eastAsia="宋体"/>
          <w:color w:val="auto"/>
          <w:szCs w:val="21"/>
        </w:rPr>
      </w:pPr>
      <w:r>
        <w:rPr>
          <w:rFonts w:ascii="宋体" w:hAnsi="宋体" w:eastAsia="宋体"/>
          <w:color w:val="auto"/>
          <w:szCs w:val="21"/>
        </w:rPr>
        <w:t>在工具实操能力方面，学校评分为</w:t>
      </w:r>
      <w:r>
        <w:rPr>
          <w:rFonts w:hint="eastAsia" w:ascii="宋体" w:hAnsi="宋体" w:eastAsia="宋体"/>
          <w:color w:val="auto"/>
          <w:szCs w:val="21"/>
        </w:rPr>
        <w:t>88</w:t>
      </w:r>
      <w:r>
        <w:rPr>
          <w:rFonts w:ascii="宋体" w:hAnsi="宋体" w:eastAsia="宋体"/>
          <w:color w:val="auto"/>
          <w:szCs w:val="21"/>
        </w:rPr>
        <w:t>分，学生互评则为</w:t>
      </w:r>
      <w:r>
        <w:rPr>
          <w:rFonts w:hint="eastAsia" w:ascii="宋体" w:hAnsi="宋体" w:eastAsia="宋体"/>
          <w:color w:val="auto"/>
          <w:szCs w:val="21"/>
        </w:rPr>
        <w:t>98</w:t>
      </w:r>
      <w:r>
        <w:rPr>
          <w:rFonts w:ascii="宋体" w:hAnsi="宋体" w:eastAsia="宋体"/>
          <w:color w:val="auto"/>
          <w:szCs w:val="21"/>
        </w:rPr>
        <w:t>分。学校评价显示，学生的</w:t>
      </w:r>
      <w:r>
        <w:rPr>
          <w:rFonts w:hint="eastAsia" w:ascii="宋体" w:hAnsi="宋体" w:eastAsia="宋体"/>
          <w:color w:val="auto"/>
          <w:szCs w:val="21"/>
        </w:rPr>
        <w:t>无错误操作次数达到规定次数的85%-94%之间，操作较熟练，偶有小失误但不影响整体效果。</w:t>
      </w:r>
      <w:r>
        <w:rPr>
          <w:rFonts w:ascii="宋体" w:hAnsi="宋体" w:eastAsia="宋体"/>
          <w:color w:val="auto"/>
          <w:szCs w:val="21"/>
        </w:rPr>
        <w:t>在学生互评环节中，工具实操能力获得较高分数，这一结果具有多重积极意义。团队成员给予的高分评价，充分体现了该生在专业实务能力上所获得的普遍认可。在模拟交易环节中，他能够熟练运用多种分析工具与交易平台，操作流程规范、执行高效，赢得了团队的一致好评。尤为突出的是，优异的互评成绩折射出团队内部已构建起良好的协作机制——当每位成员都能熟练掌握所在领域的工具操作技能时，团队的整体决策与执行便能实现无缝衔接。这种建立在扎实技术能力基础上的默契，为团队的高效协作提供了有力支撑。</w:t>
      </w:r>
    </w:p>
    <w:p w14:paraId="73E262CA">
      <w:pPr>
        <w:ind w:firstLine="420"/>
        <w:rPr>
          <w:rFonts w:hint="eastAsia" w:ascii="宋体" w:hAnsi="宋体" w:eastAsia="宋体"/>
          <w:color w:val="auto"/>
          <w:szCs w:val="21"/>
        </w:rPr>
      </w:pPr>
      <w:r>
        <w:rPr>
          <w:rFonts w:hint="eastAsia" w:ascii="宋体" w:hAnsi="宋体" w:eastAsia="宋体"/>
          <w:color w:val="auto"/>
          <w:szCs w:val="21"/>
        </w:rPr>
        <w:t>调整优化能力</w:t>
      </w:r>
    </w:p>
    <w:p w14:paraId="4EF4C9EE">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50820"/>
            <wp:effectExtent l="0" t="0" r="12700" b="11430"/>
            <wp:docPr id="5320402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3470F6">
      <w:pPr>
        <w:ind w:firstLine="420"/>
        <w:rPr>
          <w:rFonts w:hint="eastAsia" w:ascii="宋体" w:hAnsi="宋体" w:eastAsia="宋体"/>
          <w:color w:val="auto"/>
          <w:szCs w:val="21"/>
        </w:rPr>
      </w:pPr>
      <w:r>
        <w:rPr>
          <w:rFonts w:ascii="宋体" w:hAnsi="宋体" w:eastAsia="宋体"/>
          <w:color w:val="auto"/>
          <w:szCs w:val="21"/>
        </w:rPr>
        <w:t>调整优化能力学校评</w:t>
      </w:r>
      <w:r>
        <w:rPr>
          <w:rFonts w:hint="eastAsia" w:ascii="宋体" w:hAnsi="宋体" w:eastAsia="宋体"/>
          <w:color w:val="auto"/>
          <w:szCs w:val="21"/>
        </w:rPr>
        <w:t>79</w:t>
      </w:r>
      <w:r>
        <w:rPr>
          <w:rFonts w:ascii="宋体" w:hAnsi="宋体" w:eastAsia="宋体"/>
          <w:color w:val="auto"/>
          <w:szCs w:val="21"/>
        </w:rPr>
        <w:t>分、学生自评</w:t>
      </w:r>
      <w:r>
        <w:rPr>
          <w:rFonts w:hint="eastAsia" w:ascii="宋体" w:hAnsi="宋体" w:eastAsia="宋体"/>
          <w:color w:val="auto"/>
          <w:szCs w:val="21"/>
        </w:rPr>
        <w:t>92</w:t>
      </w:r>
      <w:r>
        <w:rPr>
          <w:rFonts w:ascii="宋体" w:hAnsi="宋体" w:eastAsia="宋体"/>
          <w:color w:val="auto"/>
          <w:szCs w:val="21"/>
        </w:rPr>
        <w:t>分、学生互评</w:t>
      </w:r>
      <w:r>
        <w:rPr>
          <w:rFonts w:hint="eastAsia" w:ascii="宋体" w:hAnsi="宋体" w:eastAsia="宋体"/>
          <w:color w:val="auto"/>
          <w:szCs w:val="21"/>
        </w:rPr>
        <w:t>97</w:t>
      </w:r>
      <w:r>
        <w:rPr>
          <w:rFonts w:ascii="宋体" w:hAnsi="宋体" w:eastAsia="宋体"/>
          <w:color w:val="auto"/>
          <w:szCs w:val="21"/>
        </w:rPr>
        <w:t>分。学校认为</w:t>
      </w:r>
      <w:r>
        <w:rPr>
          <w:rFonts w:hint="eastAsia" w:ascii="宋体" w:hAnsi="宋体" w:eastAsia="宋体"/>
          <w:color w:val="auto"/>
          <w:szCs w:val="21"/>
        </w:rPr>
        <w:t>目标达成率在75%-84%之间，产品优化次数一般，能在一定程度上促进项目的改进。</w:t>
      </w:r>
      <w:r>
        <w:rPr>
          <w:rFonts w:ascii="宋体" w:hAnsi="宋体" w:eastAsia="宋体"/>
          <w:color w:val="auto"/>
          <w:szCs w:val="21"/>
        </w:rPr>
        <w:t>学生自评</w:t>
      </w:r>
      <w:r>
        <w:rPr>
          <w:rFonts w:hint="eastAsia" w:ascii="宋体" w:hAnsi="宋体" w:eastAsia="宋体"/>
          <w:color w:val="auto"/>
          <w:szCs w:val="21"/>
        </w:rPr>
        <w:t>主动性高，积极主动地寻找问题和改进方向，调整优化效果显著，对项目的提升有重大贡献；</w:t>
      </w:r>
      <w:r>
        <w:rPr>
          <w:rFonts w:ascii="宋体" w:hAnsi="宋体" w:eastAsia="宋体"/>
          <w:color w:val="auto"/>
          <w:szCs w:val="21"/>
        </w:rPr>
        <w:t>学生互评觉得</w:t>
      </w:r>
      <w:r>
        <w:rPr>
          <w:rFonts w:hint="eastAsia" w:ascii="宋体" w:hAnsi="宋体" w:eastAsia="宋体"/>
          <w:color w:val="auto"/>
          <w:szCs w:val="21"/>
        </w:rPr>
        <w:t>调整优化具有很强的创新性，方案合理可行，能大幅提升项目的质量和效益，得到大家的高度赞扬。</w:t>
      </w:r>
      <w:r>
        <w:rPr>
          <w:rFonts w:ascii="宋体" w:hAnsi="宋体" w:eastAsia="宋体"/>
          <w:color w:val="auto"/>
          <w:szCs w:val="21"/>
        </w:rPr>
        <w:t>在调整优化方面，该生展现出层次清晰、卓有成效的能力：其执行环节高效可靠，能够扎实推进优化方案，确保每个改进步骤落到实处；在创新层面，他常能突破常规思维，提出具有前瞻性的独到见解，所制定的差异化策略精准契合问题本质，显著提升了项目的实施质量与整体成效。这种将扎实执行力与活跃创新思维有机融合的特点，使其优化工作兼具稳健性与创造性。</w:t>
      </w:r>
    </w:p>
    <w:p w14:paraId="5E9C0CFC">
      <w:pPr>
        <w:ind w:firstLine="420"/>
        <w:rPr>
          <w:rFonts w:hint="eastAsia" w:ascii="宋体" w:hAnsi="宋体" w:eastAsia="宋体"/>
          <w:color w:val="auto"/>
          <w:szCs w:val="21"/>
        </w:rPr>
      </w:pPr>
      <w:r>
        <w:rPr>
          <w:rFonts w:hint="eastAsia" w:ascii="宋体" w:hAnsi="宋体" w:eastAsia="宋体"/>
          <w:color w:val="auto"/>
          <w:szCs w:val="21"/>
        </w:rPr>
        <w:t>提升建议：</w:t>
      </w:r>
    </w:p>
    <w:p w14:paraId="5F17B6DB">
      <w:pPr>
        <w:ind w:firstLine="420"/>
        <w:rPr>
          <w:rFonts w:hint="eastAsia" w:ascii="宋体" w:hAnsi="宋体" w:eastAsia="宋体"/>
          <w:color w:val="auto"/>
          <w:szCs w:val="21"/>
        </w:rPr>
      </w:pPr>
      <w:r>
        <w:rPr>
          <w:rFonts w:hint="eastAsia" w:ascii="宋体" w:hAnsi="宋体" w:eastAsia="宋体"/>
          <w:color w:val="auto"/>
          <w:szCs w:val="21"/>
        </w:rPr>
        <w:t>该生已展现出优秀的期货交易潜力，未来提升可着眼于优势强化与实战深化两个维度。在优势领域，建议将其卓越的风险控制能力系统化为个人核心优势，通过研究复杂市场案例（如黑天鹅事件、流动性危机等），从被动风控向主动风险管理跃升，形成可复用的风控方法论。同时，充分利用其突出的团队协作与优化能力，在模拟环境中主动承担策略迭代职责，通过带领小组复盘、设计压力测试方案等方式，将个人能力转化为团队效能。</w:t>
      </w:r>
    </w:p>
    <w:p w14:paraId="3695854A">
      <w:pPr>
        <w:ind w:firstLine="420"/>
        <w:rPr>
          <w:rFonts w:hint="eastAsia" w:ascii="宋体" w:hAnsi="宋体" w:eastAsia="宋体"/>
          <w:color w:val="auto"/>
          <w:szCs w:val="21"/>
        </w:rPr>
      </w:pPr>
      <w:r>
        <w:rPr>
          <w:rFonts w:hint="eastAsia" w:ascii="宋体" w:hAnsi="宋体" w:eastAsia="宋体"/>
          <w:color w:val="auto"/>
          <w:szCs w:val="21"/>
        </w:rPr>
        <w:t>针对现阶段薄弱环节，需重点推动理论能力向实战效能转化。虽然系统操作与工具应用基础扎实，但需突破标准场景的限制，开展高频次、高复杂度的综合演练（如多品种对冲、跨市场套利等），强化在动态行情中的技术稳定性。数据分析能力需与实时市场信号紧密结合，引入量化分析工具和回测平台，训练从海量信息中快速提取关键决策依据的能力，缩小理论分析与企业实战需求之间的差距。</w:t>
      </w:r>
    </w:p>
    <w:p w14:paraId="11286A70">
      <w:pPr>
        <w:ind w:firstLine="420"/>
        <w:rPr>
          <w:rFonts w:hint="eastAsia" w:ascii="宋体" w:hAnsi="宋体" w:eastAsia="宋体"/>
          <w:color w:val="auto"/>
          <w:szCs w:val="21"/>
        </w:rPr>
      </w:pPr>
      <w:r>
        <w:rPr>
          <w:rFonts w:hint="eastAsia" w:ascii="宋体" w:hAnsi="宋体" w:eastAsia="宋体"/>
          <w:color w:val="auto"/>
          <w:szCs w:val="21"/>
        </w:rPr>
        <w:t>最终要实现交易素养的体系化升级。建议参与实盘模拟大赛或行业沙盘推演，在真实波动环境中检验其能力结构的完整性，特别关注连续交易中的心态稳定性与策略一致性。通过建立"交易日志-绩效分析-专家反馈"的循环机制，将实践经验转化为可持续优化的交易体系，从而完成从"优秀学员"到"专业交易者"的关键转变。这一过程需注重培养对市场的前瞻性判断能力，使其不仅能适应市场变化，更能预见并把握市场机遇。</w:t>
      </w:r>
      <w:bookmarkStart w:id="0" w:name="_GoBack"/>
      <w:bookmarkEnd w:id="0"/>
    </w:p>
    <w:p w14:paraId="56880C66">
      <w:pPr>
        <w:rPr>
          <w:rFonts w:hint="eastAsia" w:ascii="宋体" w:hAnsi="宋体" w:eastAsia="宋体"/>
          <w:color w:val="auto"/>
          <w:szCs w:val="21"/>
        </w:rPr>
      </w:pPr>
    </w:p>
    <w:p w14:paraId="3C508A5C">
      <w:pPr>
        <w:rPr>
          <w:rFonts w:hint="eastAsia" w:ascii="宋体" w:hAnsi="宋体" w:eastAsia="宋体"/>
          <w:color w:val="auto"/>
          <w:szCs w:val="21"/>
        </w:rPr>
      </w:pPr>
    </w:p>
    <w:p w14:paraId="78D8B513">
      <w:pPr>
        <w:rPr>
          <w:rFonts w:hint="eastAsia" w:ascii="宋体" w:hAnsi="宋体" w:eastAsia="宋体"/>
          <w:color w:val="auto"/>
          <w:szCs w:val="21"/>
        </w:rPr>
      </w:pPr>
    </w:p>
    <w:p w14:paraId="07DEA163">
      <w:pPr>
        <w:rPr>
          <w:rFonts w:hint="eastAsia" w:ascii="宋体" w:hAnsi="宋体" w:eastAsia="宋体"/>
          <w:color w:val="auto"/>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2AD"/>
    <w:rsid w:val="00004E18"/>
    <w:rsid w:val="00025239"/>
    <w:rsid w:val="00054424"/>
    <w:rsid w:val="001401A6"/>
    <w:rsid w:val="00263BBC"/>
    <w:rsid w:val="00266E99"/>
    <w:rsid w:val="003861F7"/>
    <w:rsid w:val="004A24BA"/>
    <w:rsid w:val="004F0637"/>
    <w:rsid w:val="005A55C9"/>
    <w:rsid w:val="005F19AA"/>
    <w:rsid w:val="0064531A"/>
    <w:rsid w:val="007A7372"/>
    <w:rsid w:val="007B25FE"/>
    <w:rsid w:val="00816E86"/>
    <w:rsid w:val="009574C4"/>
    <w:rsid w:val="0096146D"/>
    <w:rsid w:val="00964AF6"/>
    <w:rsid w:val="00AF16F7"/>
    <w:rsid w:val="00CA7D2F"/>
    <w:rsid w:val="00E132AD"/>
    <w:rsid w:val="00E538E1"/>
    <w:rsid w:val="00F458C5"/>
    <w:rsid w:val="00FC2FA1"/>
    <w:rsid w:val="568C6F45"/>
    <w:rsid w:val="73D07B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qFormat/>
    <w:uiPriority w:val="9"/>
    <w:rPr>
      <w:rFonts w:cstheme="majorBidi"/>
      <w:color w:val="104862" w:themeColor="accent1" w:themeShade="BF"/>
      <w:sz w:val="24"/>
      <w:szCs w:val="24"/>
    </w:rPr>
  </w:style>
  <w:style w:type="character" w:customStyle="1" w:styleId="22">
    <w:name w:val="标题 6 字符"/>
    <w:basedOn w:val="16"/>
    <w:link w:val="7"/>
    <w:semiHidden/>
    <w:uiPriority w:val="9"/>
    <w:rPr>
      <w:rFonts w:cstheme="majorBidi"/>
      <w:b/>
      <w:bCs/>
      <w:color w:val="104862" w:themeColor="accent1" w:themeShade="BF"/>
    </w:rPr>
  </w:style>
  <w:style w:type="character" w:customStyle="1" w:styleId="23">
    <w:name w:val="标题 7 字符"/>
    <w:basedOn w:val="16"/>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uiPriority w:val="99"/>
    <w:rPr>
      <w:sz w:val="18"/>
      <w:szCs w:val="18"/>
    </w:rPr>
  </w:style>
  <w:style w:type="character" w:customStyle="1" w:styleId="36">
    <w:name w:val="页脚 字符"/>
    <w:basedOn w:val="16"/>
    <w:link w:val="11"/>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26399;&#36135;&#27169;&#25311;&#20132;&#26131;&#22823;&#36187;&#23454;&#25112;.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26399;&#36135;&#27169;&#25311;&#20132;&#26131;&#22823;&#36187;&#23454;&#2511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89</c:v>
                </c:pt>
                <c:pt idx="1">
                  <c:v>82</c:v>
                </c:pt>
                <c:pt idx="2">
                  <c:v>99</c:v>
                </c:pt>
                <c:pt idx="3">
                  <c:v>75</c:v>
                </c:pt>
                <c:pt idx="4">
                  <c:v>88</c:v>
                </c:pt>
                <c:pt idx="5">
                  <c:v>79</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80</c:v>
                </c:pt>
                <c:pt idx="3">
                  <c:v>89</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92</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99</c:v>
                </c:pt>
                <c:pt idx="4">
                  <c:v>98</c:v>
                </c:pt>
                <c:pt idx="5">
                  <c:v>97</c:v>
                </c:pt>
              </c:numCache>
            </c:numRef>
          </c:val>
        </c:ser>
        <c:dLbls>
          <c:showLegendKey val="0"/>
          <c:showVal val="1"/>
          <c:showCatName val="0"/>
          <c:showSerName val="0"/>
          <c:showPercent val="0"/>
          <c:showBubbleSize val="0"/>
        </c:dLbls>
        <c:gapWidth val="246"/>
        <c:overlap val="-28"/>
        <c:axId val="892545918"/>
        <c:axId val="662950928"/>
      </c:barChart>
      <c:catAx>
        <c:axId val="89254591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2950928"/>
        <c:crosses val="autoZero"/>
        <c:auto val="1"/>
        <c:lblAlgn val="ctr"/>
        <c:lblOffset val="100"/>
        <c:noMultiLvlLbl val="0"/>
      </c:catAx>
      <c:valAx>
        <c:axId val="66295092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254591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b526c5c-cb8f-48eb-8425-dafe08581b8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82</c:v>
                </c:pt>
                <c:pt idx="1">
                  <c:v>80</c:v>
                </c:pt>
              </c:numCache>
            </c:numRef>
          </c:val>
        </c:ser>
        <c:dLbls>
          <c:showLegendKey val="0"/>
          <c:showVal val="0"/>
          <c:showCatName val="0"/>
          <c:showSerName val="0"/>
          <c:showPercent val="0"/>
          <c:showBubbleSize val="0"/>
        </c:dLbls>
        <c:gapWidth val="246"/>
        <c:overlap val="-28"/>
        <c:axId val="891626299"/>
        <c:axId val="125244580"/>
      </c:barChart>
      <c:catAx>
        <c:axId val="891626299"/>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5244580"/>
        <c:crosses val="autoZero"/>
        <c:auto val="1"/>
        <c:lblAlgn val="ctr"/>
        <c:lblOffset val="100"/>
        <c:noMultiLvlLbl val="0"/>
      </c:catAx>
      <c:valAx>
        <c:axId val="12524458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1626299"/>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5a729e7-c7e9-4f2f-aec1-61674b07ac9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75</c:v>
                </c:pt>
                <c:pt idx="1">
                  <c:v>89</c:v>
                </c:pt>
                <c:pt idx="2">
                  <c:v>99</c:v>
                </c:pt>
              </c:numCache>
            </c:numRef>
          </c:val>
        </c:ser>
        <c:dLbls>
          <c:showLegendKey val="0"/>
          <c:showVal val="0"/>
          <c:showCatName val="0"/>
          <c:showSerName val="0"/>
          <c:showPercent val="0"/>
          <c:showBubbleSize val="0"/>
        </c:dLbls>
        <c:gapWidth val="246"/>
        <c:overlap val="-28"/>
        <c:axId val="946992515"/>
        <c:axId val="39392867"/>
      </c:barChart>
      <c:catAx>
        <c:axId val="94699251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9392867"/>
        <c:crosses val="autoZero"/>
        <c:auto val="1"/>
        <c:lblAlgn val="ctr"/>
        <c:lblOffset val="100"/>
        <c:noMultiLvlLbl val="0"/>
      </c:catAx>
      <c:valAx>
        <c:axId val="3939286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4699251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7c2f6c6-3f7d-46f3-bd23-c95151284f2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[期货模拟交易大赛实战.xlsx]Sheet1!$A$7</c:f>
              <c:strCache>
                <c:ptCount val="1"/>
                <c:pt idx="0">
                  <c:v>工具实操</c:v>
                </c:pt>
              </c:strCache>
            </c:strRef>
          </c:tx>
          <c:spPr>
            <a:solidFill>
              <a:schemeClr val="accent1"/>
            </a:solidFill>
            <a:ln>
              <a:noFill/>
            </a:ln>
            <a:effectLst/>
          </c:spPr>
          <c:invertIfNegative val="0"/>
          <c:dLbls>
            <c:delete val="1"/>
          </c:dLbls>
          <c:cat>
            <c:strRef>
              <c:f>[期货模拟交易大赛实战.xlsx]Sheet1!$B$2:$E$2</c:f>
              <c:strCache>
                <c:ptCount val="2"/>
                <c:pt idx="0">
                  <c:v>学校</c:v>
                </c:pt>
                <c:pt idx="1">
                  <c:v>学生互评</c:v>
                </c:pt>
              </c:strCache>
            </c:strRef>
          </c:cat>
          <c:val>
            <c:numRef>
              <c:f>Sheet1!$B$7:$E$7</c:f>
              <c:numCache>
                <c:formatCode>General</c:formatCode>
                <c:ptCount val="2"/>
                <c:pt idx="0">
                  <c:v>88</c:v>
                </c:pt>
                <c:pt idx="1">
                  <c:v>98</c:v>
                </c:pt>
              </c:numCache>
            </c:numRef>
          </c:val>
        </c:ser>
        <c:dLbls>
          <c:showLegendKey val="0"/>
          <c:showVal val="0"/>
          <c:showCatName val="0"/>
          <c:showSerName val="0"/>
          <c:showPercent val="0"/>
          <c:showBubbleSize val="0"/>
        </c:dLbls>
        <c:gapWidth val="246"/>
        <c:overlap val="-28"/>
        <c:axId val="638625264"/>
        <c:axId val="240499097"/>
      </c:barChart>
      <c:catAx>
        <c:axId val="63862526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40499097"/>
        <c:crosses val="autoZero"/>
        <c:auto val="1"/>
        <c:lblAlgn val="ctr"/>
        <c:lblOffset val="100"/>
        <c:noMultiLvlLbl val="0"/>
      </c:catAx>
      <c:valAx>
        <c:axId val="24049909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862526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3d18d2e-6166-42b5-94aa-6d7ee96b149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[期货模拟交易大赛实战.xlsx]Sheet1!$A$8</c:f>
              <c:strCache>
                <c:ptCount val="1"/>
                <c:pt idx="0">
                  <c:v>调整优化</c:v>
                </c:pt>
              </c:strCache>
            </c:strRef>
          </c:tx>
          <c:spPr>
            <a:solidFill>
              <a:schemeClr val="accent1"/>
            </a:solidFill>
            <a:ln>
              <a:noFill/>
            </a:ln>
            <a:effectLst/>
          </c:spPr>
          <c:invertIfNegative val="0"/>
          <c:dLbls>
            <c:delete val="1"/>
          </c:dLbls>
          <c:cat>
            <c:strRef>
              <c:f>[期货模拟交易大赛实战.xlsx]Sheet1!$B$2:$E$2</c:f>
              <c:strCache>
                <c:ptCount val="3"/>
                <c:pt idx="0">
                  <c:v>学校</c:v>
                </c:pt>
                <c:pt idx="1">
                  <c:v>学生自评</c:v>
                </c:pt>
                <c:pt idx="2">
                  <c:v>学生互评</c:v>
                </c:pt>
              </c:strCache>
            </c:strRef>
          </c:cat>
          <c:val>
            <c:numRef>
              <c:f>Sheet1!$B$8:$E$8</c:f>
              <c:numCache>
                <c:formatCode>General</c:formatCode>
                <c:ptCount val="3"/>
                <c:pt idx="0">
                  <c:v>79</c:v>
                </c:pt>
                <c:pt idx="1">
                  <c:v>92</c:v>
                </c:pt>
                <c:pt idx="2">
                  <c:v>97</c:v>
                </c:pt>
              </c:numCache>
            </c:numRef>
          </c:val>
        </c:ser>
        <c:dLbls>
          <c:showLegendKey val="0"/>
          <c:showVal val="0"/>
          <c:showCatName val="0"/>
          <c:showSerName val="0"/>
          <c:showPercent val="0"/>
          <c:showBubbleSize val="0"/>
        </c:dLbls>
        <c:gapWidth val="246"/>
        <c:overlap val="-28"/>
        <c:axId val="313142324"/>
        <c:axId val="393646880"/>
      </c:barChart>
      <c:catAx>
        <c:axId val="31314232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93646880"/>
        <c:crosses val="autoZero"/>
        <c:auto val="1"/>
        <c:lblAlgn val="ctr"/>
        <c:lblOffset val="100"/>
        <c:noMultiLvlLbl val="0"/>
      </c:catAx>
      <c:valAx>
        <c:axId val="39364688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1314232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63263bf-cf8d-4243-8d04-36d8b3efab4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2557</Words>
  <Characters>2615</Characters>
  <Lines>72</Lines>
  <Paragraphs>52</Paragraphs>
  <TotalTime>20</TotalTime>
  <ScaleCrop>false</ScaleCrop>
  <LinksUpToDate>false</LinksUpToDate>
  <CharactersWithSpaces>2615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2025-09-27T12:47:00Z</dcterms:created>
  <dc:creator>庆敏 侯</dc:creator>
  <cp:lastModifiedBy>Sternstunde</cp:lastModifiedBy>
  <dcterms:modified xsi:type="dcterms:W3CDTF">2025-09-29T12:29:44Z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CDD9EB6E714A471483EB98F05BAD9D1D_13</vt:lpwstr>
  </property>
</Properties>
</file>