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EC994A">
      <w:pPr>
        <w:jc w:val="cente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期货模拟交易大赛实战--能力分析报告</w:t>
      </w:r>
    </w:p>
    <w:p w14:paraId="2A83479A">
      <w:pPr>
        <w:rPr>
          <w:rFonts w:hint="eastAsia" w:ascii="宋体" w:hAnsi="宋体" w:eastAsia="宋体"/>
          <w:color w:val="000000" w:themeColor="text1"/>
          <w:szCs w:val="21"/>
          <w:lang w:eastAsia="zh-CN"/>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学号：233061301121</w:t>
      </w:r>
    </w:p>
    <w:p w14:paraId="095EB591">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姓名：庞淇支</w:t>
      </w:r>
    </w:p>
    <w:p w14:paraId="4B4B803B">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总分：77（详见项目评分标准）</w:t>
      </w:r>
    </w:p>
    <w:p w14:paraId="61A8003F">
      <w:pPr>
        <w:jc w:val="center"/>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drawing>
          <wp:inline distT="0" distB="0" distL="0" distR="0">
            <wp:extent cx="4827270" cy="2746375"/>
            <wp:effectExtent l="0" t="0" r="11430" b="15875"/>
            <wp:docPr id="197395040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75D516DC">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从整体来看：</w:t>
      </w:r>
    </w:p>
    <w:p w14:paraId="12410597">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在优势方面，企业对学生的方案定制能力给予高度认可，学校对其风险控制能力也评价突出，表明该生能够将理论方法有效转化为实务方案，具备支持企业决策的专业潜力。除工具实操和调整优化两项外，学生在多数能力项上得分均超过70分，总分达到77分，整体表现均衡扎实，反映出其对期货模拟交易各环节的掌握较为全面，具备良好的综合应用能力。</w:t>
      </w:r>
    </w:p>
    <w:p w14:paraId="6380245B">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在短板方面，学生的工具实操与调整优化能力明显不足，系统操作表现欠佳，而这在高度依赖操作效率与准确性的期货交易中尤为关键。此外，多项能力在创新性、深度与熟练度方面仍有待提升，例如调整优化不够灵活、数据分析深度有限、方案定制缺乏突破性思维等，这些因素均制约了其整体竞争力的进一步提升。</w:t>
      </w:r>
    </w:p>
    <w:p w14:paraId="60CAD3B5">
      <w:pPr>
        <w:rPr>
          <w:rFonts w:hint="eastAsia" w:ascii="宋体" w:hAnsi="宋体" w:eastAsia="宋体"/>
          <w:color w:val="000000" w:themeColor="text1"/>
          <w:szCs w:val="21"/>
          <w14:textFill>
            <w14:solidFill>
              <w14:schemeClr w14:val="tx1"/>
            </w14:solidFill>
          </w14:textFill>
        </w:rPr>
      </w:pPr>
    </w:p>
    <w:p w14:paraId="6028C049">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具体来看：</w:t>
      </w:r>
    </w:p>
    <w:p w14:paraId="1665A230">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系统操作能力</w:t>
      </w:r>
    </w:p>
    <w:p w14:paraId="03753522">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在系统操作能力方面，学校评定分数为70分，反映出学生总体上能够在规定时间内完成金融业务的基本操作流程。然而，从操作正确率（75%–84%）来看，其操作过程仍存在一定波动性，具体表现为偶有操作反应迟缓、功能定位不够迅速等情况。</w:t>
      </w:r>
    </w:p>
    <w:p w14:paraId="4283FF1E">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总体来看，学生已掌握期货模拟交易平台的基础操作技能，但在操作熟练度与系统功能运用的灵活性方面仍有提升空间。尤其在处理复杂业务任务时，其操作准确性有待加强；同时，在面对突发情况时，应变能力也需进一步锻炼和提高。</w:t>
      </w:r>
    </w:p>
    <w:p w14:paraId="3D33D2A4">
      <w:pPr>
        <w:rPr>
          <w:rFonts w:hint="eastAsia" w:ascii="宋体" w:hAnsi="宋体" w:eastAsia="宋体"/>
          <w:color w:val="000000" w:themeColor="text1"/>
          <w:szCs w:val="21"/>
          <w14:textFill>
            <w14:solidFill>
              <w14:schemeClr w14:val="tx1"/>
            </w14:solidFill>
          </w14:textFill>
        </w:rPr>
      </w:pPr>
    </w:p>
    <w:p w14:paraId="64CFA456">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数据分析能力</w:t>
      </w:r>
    </w:p>
    <w:p w14:paraId="0CE06FE1">
      <w:pPr>
        <w:jc w:val="center"/>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drawing>
          <wp:inline distT="0" distB="0" distL="0" distR="0">
            <wp:extent cx="4827270" cy="2746375"/>
            <wp:effectExtent l="0" t="0" r="11430" b="15875"/>
            <wp:docPr id="156796330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70475A4D">
      <w:pPr>
        <w:ind w:firstLine="420"/>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在数据分析能力方面，学校评分为75分，企业评分为72分。学校评价指出，学生报告分析方法基本合理，对数据的分析一般，结论基本可靠，能呈现数据的基本情况。企业方则认可数据分析结果对企业业务有一定指导价值，能在一定程度上影响企业的业务操作。双方均指出，该生在分析的深度与创新性上仍有提升空间，未来可进一步加强对业务场景的理解，拓展分析视角，以提供更具洞察力和针对性的解决方案。</w:t>
      </w:r>
    </w:p>
    <w:p w14:paraId="54728F62">
      <w:pPr>
        <w:rPr>
          <w:rFonts w:hint="eastAsia" w:ascii="宋体" w:hAnsi="宋体" w:eastAsia="宋体"/>
          <w:color w:val="000000" w:themeColor="text1"/>
          <w:szCs w:val="21"/>
          <w14:textFill>
            <w14:solidFill>
              <w14:schemeClr w14:val="tx1"/>
            </w14:solidFill>
          </w14:textFill>
        </w:rPr>
      </w:pPr>
    </w:p>
    <w:p w14:paraId="71BAFC58">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风险控制能力</w:t>
      </w:r>
    </w:p>
    <w:p w14:paraId="72FE4882">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在风险控制能力方面，学校评定分数为80分。学生能够较快采取相应控制措施，及时率与准确率均处于85%–94%区间，展现出有效管控风险的能力。这一表现说明学生已具备一定的风险防范意识和基本的实战应对能力，在模拟交易环境中能够执行必要的风险管控操作，从而有效遏制损失的扩大。</w:t>
      </w:r>
    </w:p>
    <w:p w14:paraId="1834A787">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不过，学生在风险识别的敏锐性、控制措施的执行效率以及预案运用的熟练程度方面，仍有进一步提升的空间。后续若能系统学习风控理论知识，并加强在复杂情境下的实操训练，特别是在压力环境中提升决策速度与应对精度，将有助于其构建更加全面、稳健的风险管理体系。</w:t>
      </w:r>
    </w:p>
    <w:p w14:paraId="3205E789">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方案定制能力</w:t>
      </w:r>
    </w:p>
    <w:p w14:paraId="27902EDD">
      <w:pPr>
        <w:jc w:val="center"/>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drawing>
          <wp:inline distT="0" distB="0" distL="0" distR="0">
            <wp:extent cx="4827270" cy="2746375"/>
            <wp:effectExtent l="0" t="0" r="11430" b="15875"/>
            <wp:docPr id="112492924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00A0740">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在方案定制能力方面，学校、企业及学生互评的得分分别为85分、78分和88分。学校评价指出，学生所设计的方案结构较为完整，方法具备一定科学性，整体可行性较高，能够较好地满足客户的基本金融需求。企业评价则认为，方案与实际客户反馈的匹配度一般，虽能覆盖部分需求，但整体客户评价仍处于中等水平。学生互评反馈显示，方案具备一定的创新性和针对性，实用性较好，对解决客户问题有积极帮助。</w:t>
      </w:r>
    </w:p>
    <w:p w14:paraId="2BC4EF47">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综合三方评价可以看出，学生已具备方案定制的基础能力，能够构建合理框架并兼顾实操可行性。但在方案的系统性、设计严谨性、内容创新性以及与客户需求的高度契合等方面，仍有进一步提升空间。未来应更注重理论知识与实际业务场景的结合，加强差异化设计能力和客户洞察能力，从而提升方案整体质量与客户满意度。</w:t>
      </w:r>
    </w:p>
    <w:p w14:paraId="4434217C">
      <w:pPr>
        <w:rPr>
          <w:rFonts w:hint="eastAsia" w:ascii="宋体" w:hAnsi="宋体" w:eastAsia="宋体"/>
          <w:color w:val="000000" w:themeColor="text1"/>
          <w:szCs w:val="21"/>
          <w14:textFill>
            <w14:solidFill>
              <w14:schemeClr w14:val="tx1"/>
            </w14:solidFill>
          </w14:textFill>
        </w:rPr>
      </w:pPr>
    </w:p>
    <w:p w14:paraId="2F143A26">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工具实操能力</w:t>
      </w:r>
    </w:p>
    <w:p w14:paraId="3607A091">
      <w:pPr>
        <w:ind w:firstLine="420"/>
        <w:jc w:val="center"/>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drawing>
          <wp:inline distT="0" distB="0" distL="0" distR="0">
            <wp:extent cx="4827270" cy="2746375"/>
            <wp:effectExtent l="0" t="0" r="11430" b="15875"/>
            <wp:docPr id="149067056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57EFB54">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在工具实操能力方面，学校评分为</w:t>
      </w:r>
      <w:r>
        <w:rPr>
          <w:rFonts w:hint="eastAsia" w:ascii="宋体" w:hAnsi="宋体" w:eastAsia="宋体"/>
          <w:color w:val="000000" w:themeColor="text1"/>
          <w:szCs w:val="21"/>
          <w14:textFill>
            <w14:solidFill>
              <w14:schemeClr w14:val="tx1"/>
            </w14:solidFill>
          </w14:textFill>
        </w:rPr>
        <w:t>90</w:t>
      </w:r>
      <w:r>
        <w:rPr>
          <w:rFonts w:ascii="宋体" w:hAnsi="宋体" w:eastAsia="宋体"/>
          <w:color w:val="000000" w:themeColor="text1"/>
          <w:szCs w:val="21"/>
          <w14:textFill>
            <w14:solidFill>
              <w14:schemeClr w14:val="tx1"/>
            </w14:solidFill>
          </w14:textFill>
        </w:rPr>
        <w:t>分，学生互评则为</w:t>
      </w:r>
      <w:r>
        <w:rPr>
          <w:rFonts w:hint="eastAsia" w:ascii="宋体" w:hAnsi="宋体" w:eastAsia="宋体"/>
          <w:color w:val="000000" w:themeColor="text1"/>
          <w:szCs w:val="21"/>
          <w14:textFill>
            <w14:solidFill>
              <w14:schemeClr w14:val="tx1"/>
            </w14:solidFill>
          </w14:textFill>
        </w:rPr>
        <w:t>46</w:t>
      </w:r>
      <w:r>
        <w:rPr>
          <w:rFonts w:ascii="宋体" w:hAnsi="宋体" w:eastAsia="宋体"/>
          <w:color w:val="000000" w:themeColor="text1"/>
          <w:szCs w:val="21"/>
          <w14:textFill>
            <w14:solidFill>
              <w14:schemeClr w14:val="tx1"/>
            </w14:solidFill>
          </w14:textFill>
        </w:rPr>
        <w:t>分，两者存在一定差异。学校评价显示，</w:t>
      </w:r>
      <w:r>
        <w:rPr>
          <w:rFonts w:hint="eastAsia" w:ascii="宋体" w:hAnsi="宋体" w:eastAsia="宋体"/>
          <w:color w:val="000000" w:themeColor="text1"/>
          <w:szCs w:val="21"/>
          <w14:textFill>
            <w14:solidFill>
              <w14:schemeClr w14:val="tx1"/>
            </w14:solidFill>
          </w14:textFill>
        </w:rPr>
        <w:t>在项目实践过程中，无错误操作次数达到规定次数的95%及以上，操作熟练精准，能灵活运用工具的各种功能，高效完成任务</w:t>
      </w:r>
      <w:r>
        <w:rPr>
          <w:rFonts w:ascii="宋体" w:hAnsi="宋体" w:eastAsia="宋体"/>
          <w:color w:val="000000" w:themeColor="text1"/>
          <w:szCs w:val="21"/>
          <w14:textFill>
            <w14:solidFill>
              <w14:schemeClr w14:val="tx1"/>
            </w14:solidFill>
          </w14:textFill>
        </w:rPr>
        <w:t>。而学生互评得分相对较</w:t>
      </w:r>
      <w:r>
        <w:rPr>
          <w:rFonts w:hint="eastAsia" w:ascii="宋体" w:hAnsi="宋体" w:eastAsia="宋体"/>
          <w:color w:val="000000" w:themeColor="text1"/>
          <w:szCs w:val="21"/>
          <w14:textFill>
            <w14:solidFill>
              <w14:schemeClr w14:val="tx1"/>
            </w14:solidFill>
          </w14:textFill>
        </w:rPr>
        <w:t>低</w:t>
      </w:r>
      <w:r>
        <w:rPr>
          <w:rFonts w:ascii="宋体" w:hAnsi="宋体" w:eastAsia="宋体"/>
          <w:color w:val="000000" w:themeColor="text1"/>
          <w:szCs w:val="21"/>
          <w14:textFill>
            <w14:solidFill>
              <w14:schemeClr w14:val="tx1"/>
            </w14:solidFill>
          </w14:textFill>
        </w:rPr>
        <w:t>，可能因其</w:t>
      </w:r>
      <w:r>
        <w:rPr>
          <w:rFonts w:hint="eastAsia" w:ascii="宋体" w:hAnsi="宋体" w:eastAsia="宋体"/>
          <w:color w:val="000000" w:themeColor="text1"/>
          <w:szCs w:val="21"/>
          <w14:textFill>
            <w14:solidFill>
              <w14:schemeClr w14:val="tx1"/>
            </w14:solidFill>
          </w14:textFill>
        </w:rPr>
        <w:t>个人操作中存在差异导致</w:t>
      </w:r>
      <w:r>
        <w:rPr>
          <w:rFonts w:ascii="宋体" w:hAnsi="宋体" w:eastAsia="宋体"/>
          <w:color w:val="000000" w:themeColor="text1"/>
          <w:szCs w:val="21"/>
          <w14:textFill>
            <w14:solidFill>
              <w14:schemeClr w14:val="tx1"/>
            </w14:solidFill>
          </w14:textFill>
        </w:rPr>
        <w:t>。</w:t>
      </w:r>
    </w:p>
    <w:p w14:paraId="537CADD1">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综合来看，该生在面对具体任务时具备一定的应用能力，但在操作的规范性、稳定性和</w:t>
      </w:r>
      <w:r>
        <w:rPr>
          <w:rFonts w:hint="eastAsia" w:ascii="宋体" w:hAnsi="宋体" w:eastAsia="宋体"/>
          <w:color w:val="000000" w:themeColor="text1"/>
          <w:szCs w:val="21"/>
          <w14:textFill>
            <w14:solidFill>
              <w14:schemeClr w14:val="tx1"/>
            </w14:solidFill>
          </w14:textFill>
        </w:rPr>
        <w:t>统一性</w:t>
      </w:r>
      <w:r>
        <w:rPr>
          <w:rFonts w:ascii="宋体" w:hAnsi="宋体" w:eastAsia="宋体"/>
          <w:color w:val="000000" w:themeColor="text1"/>
          <w:szCs w:val="21"/>
          <w14:textFill>
            <w14:solidFill>
              <w14:schemeClr w14:val="tx1"/>
            </w14:solidFill>
          </w14:textFill>
        </w:rPr>
        <w:t>方面仍有明显不足。后续需重点加强</w:t>
      </w:r>
      <w:r>
        <w:rPr>
          <w:rFonts w:hint="eastAsia" w:ascii="宋体" w:hAnsi="宋体" w:eastAsia="宋体"/>
          <w:color w:val="000000" w:themeColor="text1"/>
          <w:szCs w:val="21"/>
          <w14:textFill>
            <w14:solidFill>
              <w14:schemeClr w14:val="tx1"/>
            </w14:solidFill>
          </w14:textFill>
        </w:rPr>
        <w:t>标准操作流程</w:t>
      </w:r>
      <w:r>
        <w:rPr>
          <w:rFonts w:ascii="宋体" w:hAnsi="宋体" w:eastAsia="宋体"/>
          <w:color w:val="000000" w:themeColor="text1"/>
          <w:szCs w:val="21"/>
          <w14:textFill>
            <w14:solidFill>
              <w14:schemeClr w14:val="tx1"/>
            </w14:solidFill>
          </w14:textFill>
        </w:rPr>
        <w:t>的反复训练，提升操作的准确度和</w:t>
      </w:r>
      <w:r>
        <w:rPr>
          <w:rFonts w:hint="eastAsia" w:ascii="宋体" w:hAnsi="宋体" w:eastAsia="宋体"/>
          <w:color w:val="000000" w:themeColor="text1"/>
          <w:szCs w:val="21"/>
          <w14:textFill>
            <w14:solidFill>
              <w14:schemeClr w14:val="tx1"/>
            </w14:solidFill>
          </w14:textFill>
        </w:rPr>
        <w:t>标准度</w:t>
      </w:r>
      <w:r>
        <w:rPr>
          <w:rFonts w:ascii="宋体" w:hAnsi="宋体" w:eastAsia="宋体"/>
          <w:color w:val="000000" w:themeColor="text1"/>
          <w:szCs w:val="21"/>
          <w14:textFill>
            <w14:solidFill>
              <w14:schemeClr w14:val="tx1"/>
            </w14:solidFill>
          </w14:textFill>
        </w:rPr>
        <w:t>，同时进一步深化对工具系统功能的理解与运用能力。</w:t>
      </w:r>
    </w:p>
    <w:p w14:paraId="764D5FD0">
      <w:pPr>
        <w:rPr>
          <w:rFonts w:hint="eastAsia" w:ascii="宋体" w:hAnsi="宋体" w:eastAsia="宋体"/>
          <w:color w:val="000000" w:themeColor="text1"/>
          <w:szCs w:val="21"/>
          <w14:textFill>
            <w14:solidFill>
              <w14:schemeClr w14:val="tx1"/>
            </w14:solidFill>
          </w14:textFill>
        </w:rPr>
      </w:pPr>
    </w:p>
    <w:p w14:paraId="031B6FBC">
      <w:pPr>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调整优化能力</w:t>
      </w:r>
    </w:p>
    <w:p w14:paraId="4E9A34CC">
      <w:pPr>
        <w:jc w:val="center"/>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drawing>
          <wp:inline distT="0" distB="0" distL="0" distR="0">
            <wp:extent cx="4827270" cy="2746375"/>
            <wp:effectExtent l="0" t="0" r="11430" b="15875"/>
            <wp:docPr id="108212645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34C0BDA">
      <w:pPr>
        <w:ind w:firstLine="420"/>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在调整优化能力方面，学校评分为65分，学生自评为82分，学生互评则为93分。学校评价认为，目标达成率在65%-74%之间，产品优化次数较少，对项目的优化作用有限。学生自评显示主动性较高，能较好地参与调整优化工作，效果较好，对项目有一定帮助；学生互评则反映出调整优化具有很强的创新性，方案合理可行，能大幅提升项目的质量和效益，得到大家的高度赞扬。</w:t>
      </w:r>
    </w:p>
    <w:p w14:paraId="26F4C60A">
      <w:pPr>
        <w:ind w:firstLine="420"/>
        <w:rPr>
          <w:rFonts w:hint="eastAsia"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t>综合来看，该生已具备良好的调整优化基础，能够提出合理方案并有效推动项目完善，整体表现获得多方肯定。未来若能在保持现有执行力的基础上，进一步提升优化策略的创新性和自主改进的主动性，将有助于该能力迈向更高水平。</w:t>
      </w:r>
    </w:p>
    <w:p w14:paraId="1269DCB6">
      <w:pPr>
        <w:ind w:firstLine="420"/>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提升建议：</w:t>
      </w:r>
    </w:p>
    <w:p w14:paraId="7FFBEA0E">
      <w:pPr>
        <w:ind w:firstLine="420"/>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期末交易能力的提升是一个系统性工程，需从多维度协同发力。系统操作是根基，建议在期末前进行全链路模拟演练，涵盖下单、撤单、持仓查询到资金划转，确保对交易软件的每一个功能键都了如指掌，杜绝因操作生疏导致的低级失误。数据分析层面，期末行情往往波动加剧且受特定因素（如业绩预告、机构调仓）影响，应聚焦于关键指标如量价异动、板块轮动节奏及衍生品持仓变化，利用技术分析工具快速识别支撑阻力，并结合基本面信息交叉验证。风险控制是期末生存与盈利的核心，必须严格执行预设的止损纪律，根据账户总额和单笔交易风险收益比动态调整仓位，避免因情绪波动而在亏损时盲目加仓。基于以上分析，方案定制至关重要，需根据自身风险偏好和市场判断，提前拟定数套应对不同市况（单边上涨/下跌、震荡）的交易计划，明确入场、加仓、离场条件。工具实操上，不仅要熟练使用Level-2行情、条件单、算法交易等高级功能以提升执行效率，更要理解其内在逻辑，避免被工具误导。</w:t>
      </w:r>
    </w:p>
    <w:p w14:paraId="6F0803CD">
      <w:pPr>
        <w:ind w:firstLine="420"/>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最后，调整优化应贯穿始终，每日收盘后必须进行交易复盘，记录每一笔决策的逻辑与结果，定期回测交易策略的有效性，从成功和失败中同时汲取经验，形成持续改进的正向循环，从而将期末的高压环境转化为锤炼交易体系的绝佳机会。</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E9D"/>
    <w:rsid w:val="00004E18"/>
    <w:rsid w:val="00022CD3"/>
    <w:rsid w:val="000565DF"/>
    <w:rsid w:val="0007192B"/>
    <w:rsid w:val="000778D1"/>
    <w:rsid w:val="00174D05"/>
    <w:rsid w:val="001C244F"/>
    <w:rsid w:val="001C71D0"/>
    <w:rsid w:val="00246EA9"/>
    <w:rsid w:val="002C0362"/>
    <w:rsid w:val="002C141C"/>
    <w:rsid w:val="003438FE"/>
    <w:rsid w:val="00346BA1"/>
    <w:rsid w:val="00347253"/>
    <w:rsid w:val="003861F7"/>
    <w:rsid w:val="003C6698"/>
    <w:rsid w:val="00411A6A"/>
    <w:rsid w:val="00435B3E"/>
    <w:rsid w:val="00441527"/>
    <w:rsid w:val="004A24BA"/>
    <w:rsid w:val="004B4178"/>
    <w:rsid w:val="004D6DD0"/>
    <w:rsid w:val="00536995"/>
    <w:rsid w:val="005372FC"/>
    <w:rsid w:val="00547B1B"/>
    <w:rsid w:val="005F2134"/>
    <w:rsid w:val="0064531A"/>
    <w:rsid w:val="00676500"/>
    <w:rsid w:val="007160BB"/>
    <w:rsid w:val="00816E86"/>
    <w:rsid w:val="0082731D"/>
    <w:rsid w:val="00837A1B"/>
    <w:rsid w:val="008448AB"/>
    <w:rsid w:val="008852AC"/>
    <w:rsid w:val="008F4D3C"/>
    <w:rsid w:val="00950BF3"/>
    <w:rsid w:val="009574C4"/>
    <w:rsid w:val="0096146D"/>
    <w:rsid w:val="00964AF6"/>
    <w:rsid w:val="00980F97"/>
    <w:rsid w:val="009C50FB"/>
    <w:rsid w:val="00AC4AC1"/>
    <w:rsid w:val="00AD4EFE"/>
    <w:rsid w:val="00AF16F7"/>
    <w:rsid w:val="00B110FF"/>
    <w:rsid w:val="00B11193"/>
    <w:rsid w:val="00B62F69"/>
    <w:rsid w:val="00BB6441"/>
    <w:rsid w:val="00DA5C66"/>
    <w:rsid w:val="00E04E9D"/>
    <w:rsid w:val="00E538E1"/>
    <w:rsid w:val="00E96250"/>
    <w:rsid w:val="00F458C5"/>
    <w:rsid w:val="00F666AA"/>
    <w:rsid w:val="07B34916"/>
    <w:rsid w:val="7C6B47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uiPriority w:val="9"/>
    <w:rPr>
      <w:rFonts w:cstheme="majorBidi"/>
      <w:color w:val="104862" w:themeColor="accent1" w:themeShade="BF"/>
      <w:sz w:val="24"/>
      <w:szCs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70</c:v>
                </c:pt>
                <c:pt idx="1">
                  <c:v>75</c:v>
                </c:pt>
                <c:pt idx="2">
                  <c:v>80</c:v>
                </c:pt>
                <c:pt idx="3">
                  <c:v>85</c:v>
                </c:pt>
                <c:pt idx="4">
                  <c:v>90</c:v>
                </c:pt>
                <c:pt idx="5">
                  <c:v>65</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72</c:v>
                </c:pt>
                <c:pt idx="3">
                  <c:v>78</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82</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88</c:v>
                </c:pt>
                <c:pt idx="4">
                  <c:v>46</c:v>
                </c:pt>
                <c:pt idx="5">
                  <c:v>93</c:v>
                </c:pt>
              </c:numCache>
            </c:numRef>
          </c:val>
        </c:ser>
        <c:dLbls>
          <c:showLegendKey val="0"/>
          <c:showVal val="1"/>
          <c:showCatName val="0"/>
          <c:showSerName val="0"/>
          <c:showPercent val="0"/>
          <c:showBubbleSize val="0"/>
        </c:dLbls>
        <c:gapWidth val="246"/>
        <c:overlap val="-28"/>
        <c:axId val="69135281"/>
        <c:axId val="53976167"/>
      </c:barChart>
      <c:catAx>
        <c:axId val="69135281"/>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3976167"/>
        <c:crosses val="autoZero"/>
        <c:auto val="1"/>
        <c:lblAlgn val="ctr"/>
        <c:lblOffset val="100"/>
        <c:noMultiLvlLbl val="0"/>
      </c:catAx>
      <c:valAx>
        <c:axId val="5397616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9135281"/>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a1644e6-66ca-4110-b3d7-bfab51d2c10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75</c:v>
                </c:pt>
                <c:pt idx="1">
                  <c:v>72</c:v>
                </c:pt>
              </c:numCache>
            </c:numRef>
          </c:val>
        </c:ser>
        <c:dLbls>
          <c:showLegendKey val="0"/>
          <c:showVal val="0"/>
          <c:showCatName val="0"/>
          <c:showSerName val="0"/>
          <c:showPercent val="0"/>
          <c:showBubbleSize val="0"/>
        </c:dLbls>
        <c:gapWidth val="246"/>
        <c:overlap val="-28"/>
        <c:axId val="707427605"/>
        <c:axId val="465838871"/>
      </c:barChart>
      <c:catAx>
        <c:axId val="70742760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65838871"/>
        <c:crosses val="autoZero"/>
        <c:auto val="1"/>
        <c:lblAlgn val="ctr"/>
        <c:lblOffset val="100"/>
        <c:noMultiLvlLbl val="0"/>
      </c:catAx>
      <c:valAx>
        <c:axId val="465838871"/>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742760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4ca2f2a-86aa-4304-8fe7-50133f2ce4d0}"/>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85</c:v>
                </c:pt>
                <c:pt idx="1">
                  <c:v>78</c:v>
                </c:pt>
                <c:pt idx="2">
                  <c:v>88</c:v>
                </c:pt>
              </c:numCache>
            </c:numRef>
          </c:val>
        </c:ser>
        <c:dLbls>
          <c:showLegendKey val="0"/>
          <c:showVal val="0"/>
          <c:showCatName val="0"/>
          <c:showSerName val="0"/>
          <c:showPercent val="0"/>
          <c:showBubbleSize val="0"/>
        </c:dLbls>
        <c:gapWidth val="246"/>
        <c:overlap val="-28"/>
        <c:axId val="578178604"/>
        <c:axId val="847636359"/>
      </c:barChart>
      <c:catAx>
        <c:axId val="5781786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47636359"/>
        <c:crosses val="autoZero"/>
        <c:auto val="1"/>
        <c:lblAlgn val="ctr"/>
        <c:lblOffset val="100"/>
        <c:noMultiLvlLbl val="0"/>
      </c:catAx>
      <c:valAx>
        <c:axId val="847636359"/>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7817860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f2db278-74fb-43ba-a835-4ecb883f3b41}"/>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90</c:v>
                </c:pt>
                <c:pt idx="1">
                  <c:v>46</c:v>
                </c:pt>
              </c:numCache>
            </c:numRef>
          </c:val>
        </c:ser>
        <c:dLbls>
          <c:showLegendKey val="0"/>
          <c:showVal val="0"/>
          <c:showCatName val="0"/>
          <c:showSerName val="0"/>
          <c:showPercent val="0"/>
          <c:showBubbleSize val="0"/>
        </c:dLbls>
        <c:gapWidth val="246"/>
        <c:overlap val="-28"/>
        <c:axId val="869796999"/>
        <c:axId val="935354227"/>
      </c:barChart>
      <c:catAx>
        <c:axId val="869796999"/>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5354227"/>
        <c:crosses val="autoZero"/>
        <c:auto val="1"/>
        <c:lblAlgn val="ctr"/>
        <c:lblOffset val="100"/>
        <c:noMultiLvlLbl val="0"/>
      </c:catAx>
      <c:valAx>
        <c:axId val="93535422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69796999"/>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bdc1272a-02f3-4b76-9432-0982ba3bd74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65</c:v>
                </c:pt>
                <c:pt idx="1">
                  <c:v>82</c:v>
                </c:pt>
                <c:pt idx="2">
                  <c:v>93</c:v>
                </c:pt>
              </c:numCache>
            </c:numRef>
          </c:val>
        </c:ser>
        <c:dLbls>
          <c:showLegendKey val="0"/>
          <c:showVal val="0"/>
          <c:showCatName val="0"/>
          <c:showSerName val="0"/>
          <c:showPercent val="0"/>
          <c:showBubbleSize val="0"/>
        </c:dLbls>
        <c:gapWidth val="246"/>
        <c:overlap val="-28"/>
        <c:axId val="541878273"/>
        <c:axId val="825044777"/>
      </c:barChart>
      <c:catAx>
        <c:axId val="54187827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5044777"/>
        <c:crosses val="autoZero"/>
        <c:auto val="1"/>
        <c:lblAlgn val="ctr"/>
        <c:lblOffset val="100"/>
        <c:noMultiLvlLbl val="0"/>
      </c:catAx>
      <c:valAx>
        <c:axId val="82504477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4187827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fcf68c7-932f-4dca-9c74-42bf1d68b81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2432</Words>
  <Characters>2494</Characters>
  <Lines>72</Lines>
  <Paragraphs>55</Paragraphs>
  <TotalTime>1</TotalTime>
  <ScaleCrop>false</ScaleCrop>
  <LinksUpToDate>false</LinksUpToDate>
  <CharactersWithSpaces>2494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2025-09-27T00:31:00Z</dcterms:created>
  <dc:creator>庆敏 侯</dc:creator>
  <cp:lastModifiedBy>Sternstunde</cp:lastModifiedBy>
  <dcterms:modified xsi:type="dcterms:W3CDTF">2025-09-29T12:29:27Z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7D92F01EBF3C465794892C762B406F7E_13</vt:lpwstr>
  </property>
</Properties>
</file>