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EF53C1">
      <w:pPr>
        <w:jc w:val="center"/>
        <w:rPr>
          <w:rFonts w:hint="eastAsia" w:ascii="宋体" w:hAnsi="宋体" w:eastAsia="宋体"/>
          <w:color w:val="auto"/>
          <w:szCs w:val="21"/>
        </w:rPr>
      </w:pPr>
      <w:r>
        <w:rPr>
          <w:rFonts w:hint="eastAsia" w:ascii="宋体" w:hAnsi="宋体" w:eastAsia="宋体"/>
          <w:color w:val="auto"/>
          <w:szCs w:val="21"/>
        </w:rPr>
        <w:t>期货模拟交易大赛实战--能力分析报告</w:t>
      </w:r>
    </w:p>
    <w:p w14:paraId="676CF9D6">
      <w:pPr>
        <w:rPr>
          <w:rFonts w:hint="eastAsia" w:ascii="宋体" w:hAnsi="宋体" w:eastAsia="宋体"/>
          <w:color w:val="auto"/>
          <w:szCs w:val="21"/>
          <w:lang w:eastAsia="zh-CN"/>
        </w:rPr>
      </w:pPr>
      <w:r>
        <w:rPr>
          <w:rFonts w:hint="eastAsia" w:ascii="宋体" w:hAnsi="宋体" w:eastAsia="宋体"/>
          <w:color w:val="auto"/>
          <w:szCs w:val="21"/>
        </w:rPr>
        <w:t>学号：233061301119</w:t>
      </w:r>
    </w:p>
    <w:p w14:paraId="5AB98811">
      <w:pPr>
        <w:rPr>
          <w:rFonts w:hint="eastAsia" w:ascii="宋体" w:hAnsi="宋体" w:eastAsia="宋体"/>
          <w:color w:val="auto"/>
          <w:szCs w:val="21"/>
        </w:rPr>
      </w:pPr>
      <w:r>
        <w:rPr>
          <w:rFonts w:hint="eastAsia" w:ascii="宋体" w:hAnsi="宋体" w:eastAsia="宋体"/>
          <w:color w:val="auto"/>
          <w:szCs w:val="21"/>
        </w:rPr>
        <w:t>姓名：罗佳懿</w:t>
      </w:r>
    </w:p>
    <w:p w14:paraId="1AA5E1A6">
      <w:pPr>
        <w:rPr>
          <w:rFonts w:hint="eastAsia" w:ascii="宋体" w:hAnsi="宋体" w:eastAsia="宋体"/>
          <w:color w:val="auto"/>
          <w:szCs w:val="21"/>
        </w:rPr>
      </w:pPr>
      <w:r>
        <w:rPr>
          <w:rFonts w:hint="eastAsia" w:ascii="宋体" w:hAnsi="宋体" w:eastAsia="宋体"/>
          <w:color w:val="auto"/>
          <w:szCs w:val="21"/>
        </w:rPr>
        <w:t>总分：78（详见项目评分标准）</w:t>
      </w:r>
    </w:p>
    <w:p w14:paraId="68CE5F3D">
      <w:pPr>
        <w:jc w:val="center"/>
        <w:rPr>
          <w:rFonts w:hint="eastAsia" w:ascii="宋体" w:hAnsi="宋体" w:eastAsia="宋体"/>
          <w:color w:val="auto"/>
          <w:szCs w:val="21"/>
        </w:rPr>
      </w:pPr>
      <w:r>
        <w:rPr>
          <w:rFonts w:ascii="宋体" w:hAnsi="宋体" w:eastAsia="宋体"/>
          <w:color w:val="auto"/>
          <w:szCs w:val="21"/>
        </w:rPr>
        <w:drawing>
          <wp:inline distT="0" distB="0" distL="0" distR="0">
            <wp:extent cx="4826000" cy="2746375"/>
            <wp:effectExtent l="0" t="0" r="12700" b="15875"/>
            <wp:docPr id="120746097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5028A15E">
      <w:pPr>
        <w:rPr>
          <w:rFonts w:hint="eastAsia" w:ascii="宋体" w:hAnsi="宋体" w:eastAsia="宋体"/>
          <w:color w:val="auto"/>
          <w:szCs w:val="21"/>
        </w:rPr>
      </w:pPr>
      <w:r>
        <w:rPr>
          <w:rFonts w:hint="eastAsia" w:ascii="宋体" w:hAnsi="宋体" w:eastAsia="宋体"/>
          <w:color w:val="auto"/>
          <w:szCs w:val="21"/>
        </w:rPr>
        <w:t>从整体来看：</w:t>
      </w:r>
    </w:p>
    <w:p w14:paraId="13615DCD">
      <w:pPr>
        <w:rPr>
          <w:rFonts w:hint="eastAsia" w:ascii="宋体" w:hAnsi="宋体" w:eastAsia="宋体"/>
          <w:color w:val="auto"/>
          <w:szCs w:val="21"/>
        </w:rPr>
      </w:pPr>
      <w:r>
        <w:rPr>
          <w:rFonts w:ascii="宋体" w:hAnsi="宋体" w:eastAsia="宋体"/>
          <w:color w:val="auto"/>
          <w:szCs w:val="21"/>
        </w:rPr>
        <w:t>优势</w:t>
      </w:r>
      <w:r>
        <w:rPr>
          <w:rFonts w:ascii="宋体" w:hAnsi="宋体" w:eastAsia="宋体"/>
          <w:color w:val="auto"/>
          <w:szCs w:val="21"/>
        </w:rPr>
        <w:br w:type="textWrapping"/>
      </w:r>
      <w:r>
        <w:rPr>
          <w:rFonts w:ascii="宋体" w:hAnsi="宋体" w:eastAsia="宋体"/>
          <w:color w:val="auto"/>
          <w:szCs w:val="21"/>
        </w:rPr>
        <w:t>该生在期货模拟交易中展现出扎实的策略构建与工具应用潜力。在方案定制方面，其自评与互评均远高于外部评分，显示出强烈的自信与团队认可，尤其在策略框架的完整性和逻辑性上表现突出。工具实操能力获得学校高分评价，说明其对交易平台的基础功能掌握熟练，能有效支撑日常交易执行。此外，风险控制意识较强，能保持稳定的风控纪律，体现出良好的合规意识和稳健的操作风格。这些特质共同构成其应对模拟交易环境的坚实基础。</w:t>
      </w:r>
    </w:p>
    <w:p w14:paraId="19582E22">
      <w:pPr>
        <w:rPr>
          <w:rFonts w:hint="eastAsia" w:ascii="宋体" w:hAnsi="宋体" w:eastAsia="宋体"/>
          <w:color w:val="auto"/>
          <w:szCs w:val="21"/>
        </w:rPr>
      </w:pPr>
      <w:r>
        <w:rPr>
          <w:rFonts w:ascii="宋体" w:hAnsi="宋体" w:eastAsia="宋体"/>
          <w:color w:val="auto"/>
          <w:szCs w:val="21"/>
        </w:rPr>
        <w:t>短板</w:t>
      </w:r>
      <w:r>
        <w:rPr>
          <w:rFonts w:ascii="宋体" w:hAnsi="宋体" w:eastAsia="宋体"/>
          <w:color w:val="auto"/>
          <w:szCs w:val="21"/>
        </w:rPr>
        <w:br w:type="textWrapping"/>
      </w:r>
      <w:r>
        <w:rPr>
          <w:rFonts w:ascii="宋体" w:hAnsi="宋体" w:eastAsia="宋体"/>
          <w:color w:val="auto"/>
          <w:szCs w:val="21"/>
        </w:rPr>
        <w:t>然而，该生在实际应用与市场衔接方面存在明显脱节。系统操作能力薄弱，成为制约其交易效率的关键瓶颈，反映出对复杂操作流程或高频场景的适应不足。数据分析的企业评分与学校评价反差显著，表明其分析方法虽具理论框架，却难以转化为符合市场真实需求的决策依据。调整优化能力的自评与互评均偏低，进一步揭示其在动态市场中灵活调整策略的主动性不足，容易陷入机械执行而缺乏迭代意识。若不能有效弥补这些实操与应变短板，将难以支撑其从模拟环境向真实交易的过渡。</w:t>
      </w:r>
    </w:p>
    <w:p w14:paraId="2C286097">
      <w:pPr>
        <w:rPr>
          <w:rFonts w:hint="eastAsia" w:ascii="宋体" w:hAnsi="宋体" w:eastAsia="宋体"/>
          <w:color w:val="auto"/>
          <w:szCs w:val="21"/>
        </w:rPr>
      </w:pPr>
    </w:p>
    <w:p w14:paraId="240E5C45">
      <w:pPr>
        <w:rPr>
          <w:rFonts w:hint="eastAsia" w:ascii="宋体" w:hAnsi="宋体" w:eastAsia="宋体"/>
          <w:color w:val="auto"/>
          <w:szCs w:val="21"/>
        </w:rPr>
      </w:pPr>
      <w:r>
        <w:rPr>
          <w:rFonts w:hint="eastAsia" w:ascii="宋体" w:hAnsi="宋体" w:eastAsia="宋体"/>
          <w:color w:val="auto"/>
          <w:szCs w:val="21"/>
        </w:rPr>
        <w:t>具体来看：</w:t>
      </w:r>
    </w:p>
    <w:p w14:paraId="55F68D9E">
      <w:pPr>
        <w:rPr>
          <w:rFonts w:hint="eastAsia" w:ascii="宋体" w:hAnsi="宋体" w:eastAsia="宋体"/>
          <w:color w:val="auto"/>
          <w:szCs w:val="21"/>
        </w:rPr>
      </w:pPr>
      <w:r>
        <w:rPr>
          <w:rFonts w:hint="eastAsia" w:ascii="宋体" w:hAnsi="宋体" w:eastAsia="宋体"/>
          <w:color w:val="auto"/>
          <w:szCs w:val="21"/>
        </w:rPr>
        <w:t>系统操作能力</w:t>
      </w:r>
    </w:p>
    <w:p w14:paraId="6EA3DC55">
      <w:pPr>
        <w:ind w:firstLine="420"/>
        <w:rPr>
          <w:rFonts w:hint="eastAsia" w:ascii="宋体" w:hAnsi="宋体" w:eastAsia="宋体"/>
          <w:color w:val="auto"/>
          <w:szCs w:val="21"/>
        </w:rPr>
      </w:pPr>
      <w:r>
        <w:rPr>
          <w:rFonts w:ascii="宋体" w:hAnsi="宋体" w:eastAsia="宋体"/>
          <w:color w:val="auto"/>
          <w:szCs w:val="21"/>
        </w:rPr>
        <w:t>在系统操作能力上，学校给出了</w:t>
      </w:r>
      <w:r>
        <w:rPr>
          <w:rFonts w:hint="eastAsia" w:ascii="宋体" w:hAnsi="宋体" w:eastAsia="宋体"/>
          <w:color w:val="auto"/>
          <w:szCs w:val="21"/>
        </w:rPr>
        <w:t>66</w:t>
      </w:r>
      <w:r>
        <w:rPr>
          <w:rFonts w:ascii="宋体" w:hAnsi="宋体" w:eastAsia="宋体"/>
          <w:color w:val="auto"/>
          <w:szCs w:val="21"/>
        </w:rPr>
        <w:t>分的评价。这意味着</w:t>
      </w:r>
      <w:r>
        <w:rPr>
          <w:rFonts w:hint="eastAsia" w:ascii="宋体" w:hAnsi="宋体" w:eastAsia="宋体"/>
          <w:color w:val="auto"/>
          <w:szCs w:val="21"/>
        </w:rPr>
        <w:t>勉强完成操作任务，正确率在65%-74%之间，操作不太熟练，出现较多小失误，需要多次尝试才能完成部分操作。</w:t>
      </w:r>
    </w:p>
    <w:p w14:paraId="40FBA2D8">
      <w:pPr>
        <w:ind w:firstLine="420"/>
        <w:rPr>
          <w:rFonts w:hint="eastAsia" w:ascii="宋体" w:hAnsi="宋体" w:eastAsia="宋体"/>
          <w:color w:val="auto"/>
          <w:szCs w:val="21"/>
        </w:rPr>
      </w:pPr>
      <w:r>
        <w:rPr>
          <w:rFonts w:ascii="宋体" w:hAnsi="宋体" w:eastAsia="宋体"/>
          <w:color w:val="auto"/>
          <w:szCs w:val="21"/>
        </w:rPr>
        <w:t>由此可见，学生对交易平台的操作流畅性与功能应用深度均有待提升。尤其在执行复杂指令时，操作精度与效率不足；而当流程出现波动或中断时，也暴露出应急处置能力的欠缺。未来需重点加强在高仿真场景下的实操训练，以构建起稳健、可靠的操作能力。</w:t>
      </w:r>
    </w:p>
    <w:p w14:paraId="10A300B4">
      <w:pPr>
        <w:rPr>
          <w:rFonts w:hint="eastAsia" w:ascii="宋体" w:hAnsi="宋体" w:eastAsia="宋体"/>
          <w:color w:val="auto"/>
          <w:szCs w:val="21"/>
        </w:rPr>
      </w:pPr>
      <w:r>
        <w:rPr>
          <w:rFonts w:hint="eastAsia" w:ascii="宋体" w:hAnsi="宋体" w:eastAsia="宋体"/>
          <w:color w:val="auto"/>
          <w:szCs w:val="21"/>
        </w:rPr>
        <w:t>数据分析能力</w:t>
      </w:r>
    </w:p>
    <w:p w14:paraId="585EB0C3">
      <w:pPr>
        <w:jc w:val="center"/>
        <w:rPr>
          <w:rFonts w:hint="eastAsia" w:ascii="宋体" w:hAnsi="宋体" w:eastAsia="宋体"/>
          <w:color w:val="auto"/>
          <w:szCs w:val="21"/>
        </w:rPr>
      </w:pPr>
      <w:r>
        <w:rPr>
          <w:rFonts w:ascii="宋体" w:hAnsi="宋体" w:eastAsia="宋体"/>
          <w:color w:val="auto"/>
          <w:szCs w:val="21"/>
        </w:rPr>
        <w:drawing>
          <wp:inline distT="0" distB="0" distL="0" distR="0">
            <wp:extent cx="4826000" cy="2746375"/>
            <wp:effectExtent l="0" t="0" r="12700" b="15875"/>
            <wp:docPr id="1544333129"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43B00B98">
      <w:pPr>
        <w:ind w:firstLine="420"/>
        <w:rPr>
          <w:rFonts w:hint="eastAsia" w:ascii="宋体" w:hAnsi="宋体" w:eastAsia="宋体"/>
          <w:color w:val="auto"/>
          <w:szCs w:val="21"/>
        </w:rPr>
      </w:pPr>
      <w:r>
        <w:rPr>
          <w:rFonts w:hint="eastAsia" w:ascii="宋体" w:hAnsi="宋体" w:eastAsia="宋体"/>
          <w:color w:val="auto"/>
          <w:szCs w:val="21"/>
        </w:rPr>
        <w:t>数据分析能力学校给出64分，企业给出69分。</w:t>
      </w:r>
      <w:r>
        <w:rPr>
          <w:rFonts w:ascii="宋体" w:hAnsi="宋体" w:eastAsia="宋体"/>
          <w:color w:val="auto"/>
          <w:szCs w:val="21"/>
        </w:rPr>
        <w:t>学校方面认为，学生所提交的</w:t>
      </w:r>
      <w:r>
        <w:rPr>
          <w:rFonts w:hint="eastAsia" w:ascii="宋体" w:hAnsi="宋体" w:eastAsia="宋体"/>
          <w:color w:val="auto"/>
          <w:szCs w:val="21"/>
        </w:rPr>
        <w:t>报告分析方法有缺陷，对数据的分析较浅，结论可靠性不足，对决策的参考价值有限</w:t>
      </w:r>
      <w:r>
        <w:rPr>
          <w:rFonts w:ascii="宋体" w:hAnsi="宋体" w:eastAsia="宋体"/>
          <w:color w:val="auto"/>
          <w:szCs w:val="21"/>
        </w:rPr>
        <w:t>；而企业方则指出，该</w:t>
      </w:r>
      <w:r>
        <w:rPr>
          <w:rFonts w:hint="eastAsia" w:ascii="宋体" w:hAnsi="宋体" w:eastAsia="宋体"/>
          <w:color w:val="auto"/>
          <w:szCs w:val="21"/>
        </w:rPr>
        <w:t>数据分析结果对企业业务指导价值较小，对企业决策的影响不大</w:t>
      </w:r>
      <w:r>
        <w:rPr>
          <w:rFonts w:ascii="宋体" w:hAnsi="宋体" w:eastAsia="宋体"/>
          <w:color w:val="auto"/>
          <w:szCs w:val="21"/>
        </w:rPr>
        <w:t>。当前分析在深度与创新性上未能完全满足多元化的客户期望。未来提升的关键在于加强对不同用户群体的深度洞察，将创新点与客户的核心痛点精准对接，从而提升方案的价值闭环与客户满意度。</w:t>
      </w:r>
    </w:p>
    <w:p w14:paraId="53B9AF7E">
      <w:pPr>
        <w:ind w:firstLine="420"/>
        <w:rPr>
          <w:rFonts w:hint="eastAsia" w:ascii="宋体" w:hAnsi="宋体" w:eastAsia="宋体"/>
          <w:color w:val="auto"/>
          <w:szCs w:val="21"/>
        </w:rPr>
      </w:pPr>
    </w:p>
    <w:p w14:paraId="158E567C">
      <w:pPr>
        <w:rPr>
          <w:rFonts w:hint="eastAsia" w:ascii="宋体" w:hAnsi="宋体" w:eastAsia="宋体"/>
          <w:color w:val="auto"/>
          <w:szCs w:val="21"/>
        </w:rPr>
      </w:pPr>
      <w:r>
        <w:rPr>
          <w:rFonts w:hint="eastAsia" w:ascii="宋体" w:hAnsi="宋体" w:eastAsia="宋体"/>
          <w:color w:val="auto"/>
          <w:szCs w:val="21"/>
        </w:rPr>
        <w:t>风险控制能力</w:t>
      </w:r>
    </w:p>
    <w:p w14:paraId="10988122">
      <w:pPr>
        <w:ind w:firstLine="420"/>
        <w:rPr>
          <w:rFonts w:hint="eastAsia" w:ascii="宋体" w:hAnsi="宋体" w:eastAsia="宋体"/>
          <w:color w:val="auto"/>
          <w:szCs w:val="21"/>
        </w:rPr>
      </w:pPr>
      <w:r>
        <w:rPr>
          <w:rFonts w:ascii="宋体" w:hAnsi="宋体" w:eastAsia="宋体"/>
          <w:color w:val="auto"/>
          <w:szCs w:val="21"/>
        </w:rPr>
        <w:t>风险控制能力学校评分为</w:t>
      </w:r>
      <w:r>
        <w:rPr>
          <w:rFonts w:hint="eastAsia" w:ascii="宋体" w:hAnsi="宋体" w:eastAsia="宋体"/>
          <w:color w:val="auto"/>
          <w:szCs w:val="21"/>
        </w:rPr>
        <w:t>74</w:t>
      </w:r>
      <w:r>
        <w:rPr>
          <w:rFonts w:ascii="宋体" w:hAnsi="宋体" w:eastAsia="宋体"/>
          <w:color w:val="auto"/>
          <w:szCs w:val="21"/>
        </w:rPr>
        <w:t>分，说明学生在风险发生时</w:t>
      </w:r>
      <w:r>
        <w:rPr>
          <w:rFonts w:hint="eastAsia" w:ascii="宋体" w:hAnsi="宋体" w:eastAsia="宋体"/>
          <w:color w:val="auto"/>
          <w:szCs w:val="21"/>
        </w:rPr>
        <w:t>能在一定时间内采取控制措施，及时率和准确率均在75%-84%之间，能对风险进行一定程度的控制。</w:t>
      </w:r>
      <w:r>
        <w:rPr>
          <w:rFonts w:ascii="宋体" w:hAnsi="宋体" w:eastAsia="宋体"/>
          <w:color w:val="auto"/>
          <w:szCs w:val="21"/>
        </w:rPr>
        <w:t>该生已建立起基础的风险管理框架，展现出稳健的风险意识与合规操作能力，能够在常规交易环境中有效执行风控流程。然而，面对市场突发波动或复杂风险场景时，其响应机制仍显滞后，决策精度亦有提升空间。未来需通过高频压力测试与极端行情模拟，强化对动态风险信号的敏锐捕捉与快速干预能力，同时深化风控理论在实战中的灵活应用，从而将现有的被动防御能力升级为具备前瞻性与适应性的主动风险管理体系。</w:t>
      </w:r>
    </w:p>
    <w:p w14:paraId="459E9DAA">
      <w:pPr>
        <w:rPr>
          <w:rFonts w:hint="eastAsia" w:ascii="宋体" w:hAnsi="宋体" w:eastAsia="宋体"/>
          <w:color w:val="auto"/>
          <w:szCs w:val="21"/>
        </w:rPr>
      </w:pPr>
      <w:r>
        <w:rPr>
          <w:rFonts w:hint="eastAsia" w:ascii="宋体" w:hAnsi="宋体" w:eastAsia="宋体"/>
          <w:color w:val="auto"/>
          <w:szCs w:val="21"/>
        </w:rPr>
        <w:t>方案定制能力</w:t>
      </w:r>
    </w:p>
    <w:p w14:paraId="711351F4">
      <w:pPr>
        <w:jc w:val="center"/>
        <w:rPr>
          <w:rFonts w:hint="eastAsia" w:ascii="宋体" w:hAnsi="宋体" w:eastAsia="宋体"/>
          <w:color w:val="auto"/>
          <w:szCs w:val="21"/>
        </w:rPr>
      </w:pPr>
      <w:r>
        <w:rPr>
          <w:rFonts w:ascii="宋体" w:hAnsi="宋体" w:eastAsia="宋体"/>
          <w:color w:val="auto"/>
          <w:szCs w:val="21"/>
        </w:rPr>
        <w:drawing>
          <wp:inline distT="0" distB="0" distL="0" distR="0">
            <wp:extent cx="4826000" cy="2746375"/>
            <wp:effectExtent l="0" t="0" r="12700" b="15875"/>
            <wp:docPr id="109063314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17D7987">
      <w:pPr>
        <w:ind w:firstLine="420"/>
        <w:rPr>
          <w:rFonts w:hint="eastAsia" w:ascii="宋体" w:hAnsi="宋体" w:eastAsia="宋体"/>
          <w:color w:val="auto"/>
          <w:szCs w:val="21"/>
        </w:rPr>
      </w:pPr>
      <w:r>
        <w:rPr>
          <w:rFonts w:ascii="宋体" w:hAnsi="宋体" w:eastAsia="宋体"/>
          <w:color w:val="auto"/>
          <w:szCs w:val="21"/>
        </w:rPr>
        <w:t>方案定制能力方面，学校评分为</w:t>
      </w:r>
      <w:r>
        <w:rPr>
          <w:rFonts w:hint="eastAsia" w:ascii="宋体" w:hAnsi="宋体" w:eastAsia="宋体"/>
          <w:color w:val="auto"/>
          <w:szCs w:val="21"/>
        </w:rPr>
        <w:t>57</w:t>
      </w:r>
      <w:r>
        <w:rPr>
          <w:rFonts w:ascii="宋体" w:hAnsi="宋体" w:eastAsia="宋体"/>
          <w:color w:val="auto"/>
          <w:szCs w:val="21"/>
        </w:rPr>
        <w:t>分，企业评分为</w:t>
      </w:r>
      <w:r>
        <w:rPr>
          <w:rFonts w:hint="eastAsia" w:ascii="宋体" w:hAnsi="宋体" w:eastAsia="宋体"/>
          <w:color w:val="auto"/>
          <w:szCs w:val="21"/>
        </w:rPr>
        <w:t>96</w:t>
      </w:r>
      <w:r>
        <w:rPr>
          <w:rFonts w:ascii="宋体" w:hAnsi="宋体" w:eastAsia="宋体"/>
          <w:color w:val="auto"/>
          <w:szCs w:val="21"/>
        </w:rPr>
        <w:t>分，学生互评得分为</w:t>
      </w:r>
      <w:r>
        <w:rPr>
          <w:rFonts w:hint="eastAsia" w:ascii="宋体" w:hAnsi="宋体" w:eastAsia="宋体"/>
          <w:color w:val="auto"/>
          <w:szCs w:val="21"/>
        </w:rPr>
        <w:t>76</w:t>
      </w:r>
      <w:r>
        <w:rPr>
          <w:rFonts w:ascii="宋体" w:hAnsi="宋体" w:eastAsia="宋体"/>
          <w:color w:val="auto"/>
          <w:szCs w:val="21"/>
        </w:rPr>
        <w:t>分。学校方面认为</w:t>
      </w:r>
      <w:r>
        <w:rPr>
          <w:rFonts w:hint="eastAsia" w:ascii="宋体" w:hAnsi="宋体" w:eastAsia="宋体"/>
          <w:color w:val="auto"/>
          <w:szCs w:val="21"/>
        </w:rPr>
        <w:t>方案缺乏创新性、针对性和实用性，几乎无法解决客户问题</w:t>
      </w:r>
      <w:r>
        <w:rPr>
          <w:rFonts w:ascii="宋体" w:hAnsi="宋体" w:eastAsia="宋体"/>
          <w:color w:val="auto"/>
          <w:szCs w:val="21"/>
        </w:rPr>
        <w:t>；企业评价指出</w:t>
      </w:r>
      <w:r>
        <w:rPr>
          <w:rFonts w:hint="eastAsia" w:ascii="宋体" w:hAnsi="宋体" w:eastAsia="宋体"/>
          <w:color w:val="auto"/>
          <w:szCs w:val="21"/>
        </w:rPr>
        <w:t>方案与客户反馈高度匹配，充分满足客户的个性化需求，得到客户的高度认可，对企业的客户满意度和业务口碑有极大提升</w:t>
      </w:r>
      <w:r>
        <w:rPr>
          <w:rFonts w:ascii="宋体" w:hAnsi="宋体" w:eastAsia="宋体"/>
          <w:color w:val="auto"/>
          <w:szCs w:val="21"/>
        </w:rPr>
        <w:t>；学生互评则反映</w:t>
      </w:r>
      <w:r>
        <w:rPr>
          <w:rFonts w:hint="eastAsia" w:ascii="宋体" w:hAnsi="宋体" w:eastAsia="宋体"/>
          <w:color w:val="auto"/>
          <w:szCs w:val="21"/>
        </w:rPr>
        <w:t>方案创新性不足，但能基本针对客户需求，实用性一般，能提供一定的解决方案</w:t>
      </w:r>
      <w:r>
        <w:rPr>
          <w:rFonts w:ascii="宋体" w:hAnsi="宋体" w:eastAsia="宋体"/>
          <w:color w:val="auto"/>
          <w:szCs w:val="21"/>
        </w:rPr>
        <w:t>。综合来看，该生已掌握方案定制的基本方法论，能够独立构建逻辑清晰、具备可行性的基础框架，展现出系统性思维的雏形。然而，现有方案多倾向于模板化输出，在策略的前瞻性、结构的严谨性及与客户痛点的契合度上仍显不足。具体表现为方案设计多依赖常规路径，缺乏基于深度洞察的个性化解决方案；对潜在风险的预判及应对机制设计不够周密；未能充分将理论模型与行业实际动态有效结合。未来应着重培养其需求挖掘与价值创造能力：一方面通过案例复盘与竞品分析，提升对客户隐性需求的敏锐度；另一方面加强跨学科知识的融合应用，尝试引入数据分析、行为经济学等工具，推动方案从"符合要求"向"创造价值"跃升，最终形成兼具科学性与创新性的差异化设计能力。</w:t>
      </w:r>
    </w:p>
    <w:p w14:paraId="55AC15CB">
      <w:pPr>
        <w:rPr>
          <w:rFonts w:hint="eastAsia" w:ascii="宋体" w:hAnsi="宋体" w:eastAsia="宋体"/>
          <w:color w:val="auto"/>
          <w:szCs w:val="21"/>
        </w:rPr>
      </w:pPr>
      <w:r>
        <w:rPr>
          <w:rFonts w:hint="eastAsia" w:ascii="宋体" w:hAnsi="宋体" w:eastAsia="宋体"/>
          <w:color w:val="auto"/>
          <w:szCs w:val="21"/>
        </w:rPr>
        <w:t>工具实操能力</w:t>
      </w:r>
    </w:p>
    <w:p w14:paraId="45CD0036">
      <w:pPr>
        <w:ind w:firstLine="420"/>
        <w:jc w:val="center"/>
        <w:rPr>
          <w:rFonts w:hint="eastAsia" w:ascii="宋体" w:hAnsi="宋体" w:eastAsia="宋体"/>
          <w:color w:val="auto"/>
          <w:szCs w:val="21"/>
        </w:rPr>
      </w:pPr>
      <w:r>
        <w:rPr>
          <w:rFonts w:ascii="宋体" w:hAnsi="宋体" w:eastAsia="宋体"/>
          <w:color w:val="auto"/>
          <w:szCs w:val="21"/>
        </w:rPr>
        <w:drawing>
          <wp:inline distT="0" distB="0" distL="0" distR="0">
            <wp:extent cx="4826000" cy="2746375"/>
            <wp:effectExtent l="0" t="0" r="12700" b="15875"/>
            <wp:docPr id="120680240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27DA03A">
      <w:pPr>
        <w:ind w:firstLine="420"/>
        <w:rPr>
          <w:rFonts w:hint="eastAsia" w:ascii="宋体" w:hAnsi="宋体" w:eastAsia="宋体"/>
          <w:color w:val="auto"/>
          <w:szCs w:val="21"/>
        </w:rPr>
      </w:pPr>
      <w:r>
        <w:rPr>
          <w:rFonts w:ascii="宋体" w:hAnsi="宋体" w:eastAsia="宋体"/>
          <w:color w:val="auto"/>
          <w:szCs w:val="21"/>
        </w:rPr>
        <w:t>在工具实操能力方面，学校评分为7</w:t>
      </w:r>
      <w:r>
        <w:rPr>
          <w:rFonts w:hint="eastAsia" w:ascii="宋体" w:hAnsi="宋体" w:eastAsia="宋体"/>
          <w:color w:val="auto"/>
          <w:szCs w:val="21"/>
        </w:rPr>
        <w:t>4</w:t>
      </w:r>
      <w:r>
        <w:rPr>
          <w:rFonts w:ascii="宋体" w:hAnsi="宋体" w:eastAsia="宋体"/>
          <w:color w:val="auto"/>
          <w:szCs w:val="21"/>
        </w:rPr>
        <w:t>分，学生互评则为</w:t>
      </w:r>
      <w:r>
        <w:rPr>
          <w:rFonts w:hint="eastAsia" w:ascii="宋体" w:hAnsi="宋体" w:eastAsia="宋体"/>
          <w:color w:val="auto"/>
          <w:szCs w:val="21"/>
        </w:rPr>
        <w:t>98</w:t>
      </w:r>
      <w:r>
        <w:rPr>
          <w:rFonts w:ascii="宋体" w:hAnsi="宋体" w:eastAsia="宋体"/>
          <w:color w:val="auto"/>
          <w:szCs w:val="21"/>
        </w:rPr>
        <w:t>分。学校评价显示，学生的无错误操作次数处于规定范围的75%–84%之间，整体操作较为熟练，虽偶有小失误但能及时调整。而学生互评</w:t>
      </w:r>
      <w:r>
        <w:rPr>
          <w:rFonts w:hint="eastAsia" w:ascii="宋体" w:hAnsi="宋体" w:eastAsia="宋体"/>
          <w:color w:val="auto"/>
          <w:szCs w:val="21"/>
        </w:rPr>
        <w:t>分数较高，说明在工具实操能够得到他人较高程度的肯定。</w:t>
      </w:r>
    </w:p>
    <w:p w14:paraId="33EDCD41">
      <w:pPr>
        <w:ind w:firstLine="420"/>
        <w:rPr>
          <w:rFonts w:hint="eastAsia" w:ascii="宋体" w:hAnsi="宋体" w:eastAsia="宋体"/>
          <w:color w:val="auto"/>
          <w:szCs w:val="21"/>
        </w:rPr>
      </w:pPr>
      <w:r>
        <w:rPr>
          <w:rFonts w:hint="eastAsia" w:ascii="宋体" w:hAnsi="宋体" w:eastAsia="宋体"/>
          <w:color w:val="auto"/>
          <w:szCs w:val="21"/>
        </w:rPr>
        <w:t>调整优化能力</w:t>
      </w:r>
    </w:p>
    <w:p w14:paraId="44E811E0">
      <w:pPr>
        <w:jc w:val="center"/>
        <w:rPr>
          <w:rFonts w:hint="eastAsia" w:ascii="宋体" w:hAnsi="宋体" w:eastAsia="宋体"/>
          <w:color w:val="auto"/>
          <w:szCs w:val="21"/>
        </w:rPr>
      </w:pPr>
      <w:r>
        <w:rPr>
          <w:rFonts w:ascii="宋体" w:hAnsi="宋体" w:eastAsia="宋体"/>
          <w:color w:val="auto"/>
          <w:szCs w:val="21"/>
        </w:rPr>
        <w:drawing>
          <wp:inline distT="0" distB="0" distL="0" distR="0">
            <wp:extent cx="4826000" cy="2746375"/>
            <wp:effectExtent l="0" t="0" r="12700" b="15875"/>
            <wp:docPr id="549635329"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991788C">
      <w:pPr>
        <w:ind w:firstLine="420"/>
        <w:rPr>
          <w:rFonts w:hint="eastAsia" w:ascii="宋体" w:hAnsi="宋体" w:eastAsia="宋体"/>
          <w:color w:val="auto"/>
          <w:szCs w:val="21"/>
        </w:rPr>
      </w:pPr>
      <w:r>
        <w:rPr>
          <w:rFonts w:ascii="宋体" w:hAnsi="宋体" w:eastAsia="宋体"/>
          <w:color w:val="auto"/>
          <w:szCs w:val="21"/>
        </w:rPr>
        <w:t>调整优化能力学校评</w:t>
      </w:r>
      <w:r>
        <w:rPr>
          <w:rFonts w:hint="eastAsia" w:ascii="宋体" w:hAnsi="宋体" w:eastAsia="宋体"/>
          <w:color w:val="auto"/>
          <w:szCs w:val="21"/>
        </w:rPr>
        <w:t>83</w:t>
      </w:r>
      <w:r>
        <w:rPr>
          <w:rFonts w:ascii="宋体" w:hAnsi="宋体" w:eastAsia="宋体"/>
          <w:color w:val="auto"/>
          <w:szCs w:val="21"/>
        </w:rPr>
        <w:t>分、学生自评</w:t>
      </w:r>
      <w:r>
        <w:rPr>
          <w:rFonts w:hint="eastAsia" w:ascii="宋体" w:hAnsi="宋体" w:eastAsia="宋体"/>
          <w:color w:val="auto"/>
          <w:szCs w:val="21"/>
        </w:rPr>
        <w:t>88</w:t>
      </w:r>
      <w:r>
        <w:rPr>
          <w:rFonts w:ascii="宋体" w:hAnsi="宋体" w:eastAsia="宋体"/>
          <w:color w:val="auto"/>
          <w:szCs w:val="21"/>
        </w:rPr>
        <w:t>分、学生互评</w:t>
      </w:r>
      <w:r>
        <w:rPr>
          <w:rFonts w:hint="eastAsia" w:ascii="宋体" w:hAnsi="宋体" w:eastAsia="宋体"/>
          <w:color w:val="auto"/>
          <w:szCs w:val="21"/>
        </w:rPr>
        <w:t>90</w:t>
      </w:r>
      <w:r>
        <w:rPr>
          <w:rFonts w:ascii="宋体" w:hAnsi="宋体" w:eastAsia="宋体"/>
          <w:color w:val="auto"/>
          <w:szCs w:val="21"/>
        </w:rPr>
        <w:t>分。学校认为</w:t>
      </w:r>
      <w:r>
        <w:rPr>
          <w:rFonts w:hint="eastAsia" w:ascii="宋体" w:hAnsi="宋体" w:eastAsia="宋体"/>
          <w:color w:val="auto"/>
          <w:szCs w:val="21"/>
        </w:rPr>
        <w:t>目标达成率在85%-94%之间，产品优化次数较多且有一定效果，能积极推动项目的完善</w:t>
      </w:r>
      <w:r>
        <w:rPr>
          <w:rFonts w:ascii="宋体" w:hAnsi="宋体" w:eastAsia="宋体"/>
          <w:color w:val="auto"/>
          <w:szCs w:val="21"/>
        </w:rPr>
        <w:t>；学生自评</w:t>
      </w:r>
      <w:r>
        <w:rPr>
          <w:rFonts w:hint="eastAsia" w:ascii="宋体" w:hAnsi="宋体" w:eastAsia="宋体"/>
          <w:color w:val="auto"/>
          <w:szCs w:val="21"/>
        </w:rPr>
        <w:t>主动性较高，能较好地参与调整优化工作，效果较好，对项目有一定帮助</w:t>
      </w:r>
      <w:r>
        <w:rPr>
          <w:rFonts w:ascii="宋体" w:hAnsi="宋体" w:eastAsia="宋体"/>
          <w:color w:val="auto"/>
          <w:szCs w:val="21"/>
        </w:rPr>
        <w:t>；学生互评觉得</w:t>
      </w:r>
      <w:r>
        <w:rPr>
          <w:rFonts w:hint="eastAsia" w:ascii="宋体" w:hAnsi="宋体" w:eastAsia="宋体"/>
          <w:color w:val="auto"/>
          <w:szCs w:val="21"/>
        </w:rPr>
        <w:t>调整优化具有很强的创新性，方案合理可行，能大幅提升项目的质量和效益，得到大家的高度赞扬。</w:t>
      </w:r>
      <w:r>
        <w:rPr>
          <w:rFonts w:ascii="宋体" w:hAnsi="宋体" w:eastAsia="宋体"/>
          <w:color w:val="auto"/>
          <w:szCs w:val="21"/>
        </w:rPr>
        <w:t>综合来看，该生在调整优化领域不仅具备扎实的执行能力，更展现出优秀的创新思维和团队协作精神，其工作成果得到了师生的一致肯定，彰显出在这一核心能力上的显著优势。</w:t>
      </w:r>
    </w:p>
    <w:p w14:paraId="7DF4F7DF">
      <w:pPr>
        <w:rPr>
          <w:rFonts w:hint="eastAsia" w:ascii="宋体" w:hAnsi="宋体" w:eastAsia="宋体"/>
          <w:color w:val="auto"/>
          <w:szCs w:val="21"/>
        </w:rPr>
      </w:pPr>
      <w:r>
        <w:rPr>
          <w:rFonts w:hint="eastAsia" w:ascii="宋体" w:hAnsi="宋体" w:eastAsia="宋体"/>
          <w:color w:val="auto"/>
          <w:szCs w:val="21"/>
        </w:rPr>
        <w:t>提升建议：</w:t>
      </w:r>
    </w:p>
    <w:p w14:paraId="03567CFC">
      <w:pPr>
        <w:ind w:firstLine="420"/>
        <w:rPr>
          <w:rFonts w:hint="eastAsia" w:ascii="宋体" w:hAnsi="宋体" w:eastAsia="宋体"/>
          <w:color w:val="auto"/>
          <w:szCs w:val="21"/>
        </w:rPr>
      </w:pPr>
      <w:r>
        <w:rPr>
          <w:rFonts w:hint="eastAsia" w:ascii="宋体" w:hAnsi="宋体" w:eastAsia="宋体"/>
          <w:color w:val="auto"/>
          <w:szCs w:val="21"/>
        </w:rPr>
        <w:t>该学生在期货模拟交易中展现出的能力结构，清晰地揭示了其从“模拟操作者”向“实战交易者”转型的关键路径。未来的能力提升应聚焦于夯实操作根基、强化市场衔接、优化决策心智三个核心维度进行系统化构建。</w:t>
      </w:r>
    </w:p>
    <w:p w14:paraId="770768C5">
      <w:pPr>
        <w:ind w:firstLine="420"/>
        <w:rPr>
          <w:rFonts w:hint="eastAsia" w:ascii="宋体" w:hAnsi="宋体" w:eastAsia="宋体"/>
          <w:color w:val="auto"/>
          <w:szCs w:val="21"/>
        </w:rPr>
      </w:pPr>
      <w:r>
        <w:rPr>
          <w:rFonts w:hint="eastAsia" w:ascii="宋体" w:hAnsi="宋体" w:eastAsia="宋体"/>
          <w:color w:val="auto"/>
          <w:szCs w:val="21"/>
        </w:rPr>
        <w:t>首要任务是突破系统操作的能力瓶颈。尽管在工具实操上表现良好，但系统操作环节的薄弱已成为制约交易效率与稳定性的最直接短板。建议开展高频次、高强度的模块化专项训练，重点强化在复杂界面切换、多订单并发处理、以及压力情境下的快速精准操作能力，形成可靠的“肌肉记忆”，确保在任何市场波动下都能保证技术执行的零失误。</w:t>
      </w:r>
    </w:p>
    <w:p w14:paraId="4D9A343F">
      <w:pPr>
        <w:ind w:firstLine="420"/>
        <w:rPr>
          <w:rFonts w:hint="eastAsia" w:ascii="宋体" w:hAnsi="宋体" w:eastAsia="宋体"/>
          <w:color w:val="auto"/>
          <w:szCs w:val="21"/>
        </w:rPr>
      </w:pPr>
      <w:r>
        <w:rPr>
          <w:rFonts w:hint="eastAsia" w:ascii="宋体" w:hAnsi="宋体" w:eastAsia="宋体"/>
          <w:color w:val="auto"/>
          <w:szCs w:val="21"/>
        </w:rPr>
        <w:t>核心环节在于推动分析能力与市场需求的深度融合。当前数据分析能力的“校内高分”与“企业认可”之间存在显著落差，反映出理论框架与实战应用严重脱节。应有意识地引入真实市场案例进行深度复盘，训练在信息不完备、时间紧迫条件下的快速决策能力，特别要注重将基本面分析与技术信号进行交叉验证，培养从市场噪音中识别关键信号的市场直觉。</w:t>
      </w:r>
    </w:p>
    <w:p w14:paraId="558BD208">
      <w:pPr>
        <w:ind w:firstLine="420"/>
        <w:rPr>
          <w:rFonts w:hint="eastAsia" w:ascii="宋体" w:hAnsi="宋体" w:eastAsia="宋体"/>
          <w:color w:val="auto"/>
          <w:szCs w:val="21"/>
        </w:rPr>
      </w:pPr>
      <w:r>
        <w:rPr>
          <w:rFonts w:hint="eastAsia" w:ascii="宋体" w:hAnsi="宋体" w:eastAsia="宋体"/>
          <w:color w:val="auto"/>
          <w:szCs w:val="21"/>
        </w:rPr>
        <w:t>关键在于构建持续优化的交易心智模式。调整优化能力的不足暴露出应对市场变化的灵活性欠缺。应建立“计划-执行-复盘-迭代”的完整交易闭环，每日对交易决策进行结构化复盘，重点分析止损策略的有效性、仓位管理的合理性以及情绪对决策的干扰。同时，需主动寻求行业导师的专业反馈，将主观的交易感受转化为客观的改进指标，逐步培养“敬畏市场、尊重规则、动态调整”的专业交易素养。</w:t>
      </w:r>
    </w:p>
    <w:p w14:paraId="6146D85B">
      <w:pPr>
        <w:ind w:firstLine="420"/>
        <w:rPr>
          <w:rFonts w:hint="eastAsia" w:ascii="宋体" w:hAnsi="宋体" w:eastAsia="宋体"/>
          <w:color w:val="auto"/>
          <w:szCs w:val="21"/>
        </w:rPr>
      </w:pPr>
      <w:r>
        <w:rPr>
          <w:rFonts w:hint="eastAsia" w:ascii="宋体" w:hAnsi="宋体" w:eastAsia="宋体"/>
          <w:color w:val="auto"/>
          <w:szCs w:val="21"/>
        </w:rPr>
        <w:t>唯有通过这样系统性的训练，才能真正实现从掌握交易技能到具备交易智慧的本质跨越，为未来应对真实市场的复杂挑战奠定坚实基础。</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85E"/>
    <w:rsid w:val="00004E18"/>
    <w:rsid w:val="0011184D"/>
    <w:rsid w:val="00152384"/>
    <w:rsid w:val="001E7EDE"/>
    <w:rsid w:val="00214447"/>
    <w:rsid w:val="0038485F"/>
    <w:rsid w:val="003861F7"/>
    <w:rsid w:val="004A24BA"/>
    <w:rsid w:val="005F19AA"/>
    <w:rsid w:val="0064531A"/>
    <w:rsid w:val="00816E86"/>
    <w:rsid w:val="00946A8A"/>
    <w:rsid w:val="009574C4"/>
    <w:rsid w:val="0096146D"/>
    <w:rsid w:val="00964AF6"/>
    <w:rsid w:val="00AF16F7"/>
    <w:rsid w:val="00DB631C"/>
    <w:rsid w:val="00E538E1"/>
    <w:rsid w:val="00E6385E"/>
    <w:rsid w:val="00F458C5"/>
    <w:rsid w:val="00FC070C"/>
    <w:rsid w:val="01820ACB"/>
    <w:rsid w:val="0D5D24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2"/>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11">
    <w:name w:val="footer"/>
    <w:basedOn w:val="1"/>
    <w:link w:val="36"/>
    <w:unhideWhenUsed/>
    <w:uiPriority w:val="99"/>
    <w:pPr>
      <w:tabs>
        <w:tab w:val="center" w:pos="4153"/>
        <w:tab w:val="right" w:pos="8306"/>
      </w:tabs>
      <w:snapToGrid w:val="0"/>
      <w:jc w:val="left"/>
    </w:pPr>
    <w:rPr>
      <w:sz w:val="18"/>
      <w:szCs w:val="18"/>
    </w:rPr>
  </w:style>
  <w:style w:type="paragraph" w:styleId="12">
    <w:name w:val="header"/>
    <w:basedOn w:val="1"/>
    <w:link w:val="35"/>
    <w:unhideWhenUsed/>
    <w:uiPriority w:val="99"/>
    <w:pPr>
      <w:tabs>
        <w:tab w:val="center" w:pos="4153"/>
        <w:tab w:val="right" w:pos="8306"/>
      </w:tabs>
      <w:snapToGrid w:val="0"/>
      <w:jc w:val="center"/>
    </w:pPr>
    <w:rPr>
      <w:sz w:val="18"/>
      <w:szCs w:val="18"/>
    </w:rPr>
  </w:style>
  <w:style w:type="paragraph" w:styleId="13">
    <w:name w:val="Subtitle"/>
    <w:basedOn w:val="1"/>
    <w:next w:val="1"/>
    <w:link w:val="27"/>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uiPriority w:val="9"/>
    <w:rPr>
      <w:rFonts w:asciiTheme="majorHAnsi" w:hAnsiTheme="majorHAnsi" w:eastAsiaTheme="majorEastAsia" w:cstheme="majorBidi"/>
      <w:color w:val="104862" w:themeColor="accent1" w:themeShade="BF"/>
      <w:sz w:val="48"/>
      <w:szCs w:val="48"/>
    </w:rPr>
  </w:style>
  <w:style w:type="character" w:customStyle="1" w:styleId="18">
    <w:name w:val="标题 2 字符"/>
    <w:basedOn w:val="16"/>
    <w:link w:val="3"/>
    <w:semiHidden/>
    <w:uiPriority w:val="9"/>
    <w:rPr>
      <w:rFonts w:asciiTheme="majorHAnsi" w:hAnsiTheme="majorHAnsi" w:eastAsiaTheme="majorEastAsia" w:cstheme="majorBidi"/>
      <w:color w:val="104862" w:themeColor="accent1" w:themeShade="BF"/>
      <w:sz w:val="40"/>
      <w:szCs w:val="40"/>
    </w:rPr>
  </w:style>
  <w:style w:type="character" w:customStyle="1" w:styleId="19">
    <w:name w:val="标题 3 字符"/>
    <w:basedOn w:val="16"/>
    <w:link w:val="4"/>
    <w:semiHidden/>
    <w:uiPriority w:val="9"/>
    <w:rPr>
      <w:rFonts w:asciiTheme="majorHAnsi" w:hAnsiTheme="majorHAnsi" w:eastAsiaTheme="majorEastAsia" w:cstheme="majorBidi"/>
      <w:color w:val="104862" w:themeColor="accent1" w:themeShade="BF"/>
      <w:sz w:val="32"/>
      <w:szCs w:val="32"/>
    </w:rPr>
  </w:style>
  <w:style w:type="character" w:customStyle="1" w:styleId="20">
    <w:name w:val="标题 4 字符"/>
    <w:basedOn w:val="16"/>
    <w:link w:val="5"/>
    <w:semiHidden/>
    <w:uiPriority w:val="9"/>
    <w:rPr>
      <w:rFonts w:cstheme="majorBidi"/>
      <w:color w:val="104862" w:themeColor="accent1" w:themeShade="BF"/>
      <w:sz w:val="28"/>
      <w:szCs w:val="28"/>
    </w:rPr>
  </w:style>
  <w:style w:type="character" w:customStyle="1" w:styleId="21">
    <w:name w:val="标题 5 字符"/>
    <w:basedOn w:val="16"/>
    <w:link w:val="6"/>
    <w:semiHidden/>
    <w:uiPriority w:val="9"/>
    <w:rPr>
      <w:rFonts w:cstheme="majorBidi"/>
      <w:color w:val="104862" w:themeColor="accent1" w:themeShade="BF"/>
      <w:sz w:val="24"/>
      <w:szCs w:val="24"/>
    </w:rPr>
  </w:style>
  <w:style w:type="character" w:customStyle="1" w:styleId="22">
    <w:name w:val="标题 6 字符"/>
    <w:basedOn w:val="16"/>
    <w:link w:val="7"/>
    <w:semiHidden/>
    <w:uiPriority w:val="9"/>
    <w:rPr>
      <w:rFonts w:cstheme="majorBidi"/>
      <w:b/>
      <w:bCs/>
      <w:color w:val="104862" w:themeColor="accent1" w:themeShade="BF"/>
    </w:rPr>
  </w:style>
  <w:style w:type="character" w:customStyle="1" w:styleId="23">
    <w:name w:val="标题 7 字符"/>
    <w:basedOn w:val="16"/>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明显引用 字符"/>
    <w:basedOn w:val="16"/>
    <w:link w:val="32"/>
    <w:qFormat/>
    <w:uiPriority w:val="30"/>
    <w:rPr>
      <w:i/>
      <w:iCs/>
      <w:color w:val="104862" w:themeColor="accent1" w:themeShade="BF"/>
    </w:rPr>
  </w:style>
  <w:style w:type="character" w:customStyle="1" w:styleId="34">
    <w:name w:val="Intense Reference"/>
    <w:basedOn w:val="16"/>
    <w:qFormat/>
    <w:uiPriority w:val="32"/>
    <w:rPr>
      <w:b/>
      <w:bCs/>
      <w:smallCaps/>
      <w:color w:val="104862" w:themeColor="accent1" w:themeShade="BF"/>
      <w:spacing w:val="5"/>
    </w:rPr>
  </w:style>
  <w:style w:type="character" w:customStyle="1" w:styleId="35">
    <w:name w:val="页眉 字符"/>
    <w:basedOn w:val="16"/>
    <w:link w:val="12"/>
    <w:qFormat/>
    <w:uiPriority w:val="99"/>
    <w:rPr>
      <w:sz w:val="18"/>
      <w:szCs w:val="18"/>
    </w:rPr>
  </w:style>
  <w:style w:type="character" w:customStyle="1" w:styleId="36">
    <w:name w:val="页脚 字符"/>
    <w:basedOn w:val="16"/>
    <w:link w:val="11"/>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hart" Target="charts/chart5.xml"/><Relationship Id="rId7" Type="http://schemas.openxmlformats.org/officeDocument/2006/relationships/chart" Target="charts/chart4.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能力评分统计</a:t>
            </a:r>
            <a:endParaRPr lang="zh-CN" altLang="en-US"/>
          </a:p>
        </c:rich>
      </c:tx>
      <c:layout/>
      <c:overlay val="0"/>
      <c:spPr>
        <a:noFill/>
        <a:ln>
          <a:noFill/>
        </a:ln>
        <a:effectLst/>
      </c:spPr>
    </c:title>
    <c:autoTitleDeleted val="0"/>
    <c:plotArea>
      <c:layout/>
      <c:barChart>
        <c:barDir val="col"/>
        <c:grouping val="clustered"/>
        <c:varyColors val="0"/>
        <c:ser>
          <c:idx val="0"/>
          <c:order val="0"/>
          <c:tx>
            <c:strRef>
              <c:f>[李思汉.xlsx]Sheet1!$B$2</c:f>
              <c:strCache>
                <c:ptCount val="1"/>
                <c:pt idx="0">
                  <c:v>学校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[李思汉.xlsx]Sheet1!$B$3:$B$8</c:f>
              <c:numCache>
                <c:formatCode>General</c:formatCode>
                <c:ptCount val="6"/>
                <c:pt idx="0">
                  <c:v>66</c:v>
                </c:pt>
                <c:pt idx="1">
                  <c:v>64</c:v>
                </c:pt>
                <c:pt idx="2">
                  <c:v>74</c:v>
                </c:pt>
                <c:pt idx="3">
                  <c:v>57</c:v>
                </c:pt>
                <c:pt idx="4">
                  <c:v>74</c:v>
                </c:pt>
                <c:pt idx="5">
                  <c:v>83</c:v>
                </c:pt>
              </c:numCache>
            </c:numRef>
          </c:val>
        </c:ser>
        <c:ser>
          <c:idx val="1"/>
          <c:order val="1"/>
          <c:tx>
            <c:strRef>
              <c:f>[李思汉.xlsx]Sheet1!$C$2</c:f>
              <c:strCache>
                <c:ptCount val="1"/>
                <c:pt idx="0">
                  <c:v>企业</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[李思汉.xlsx]Sheet1!$C$3:$C$8</c:f>
              <c:numCache>
                <c:formatCode>General</c:formatCode>
                <c:ptCount val="6"/>
                <c:pt idx="1">
                  <c:v>69</c:v>
                </c:pt>
                <c:pt idx="3">
                  <c:v>96</c:v>
                </c:pt>
              </c:numCache>
            </c:numRef>
          </c:val>
        </c:ser>
        <c:ser>
          <c:idx val="2"/>
          <c:order val="2"/>
          <c:tx>
            <c:strRef>
              <c:f>[李思汉.xlsx]Sheet1!$D$2</c:f>
              <c:strCache>
                <c:ptCount val="1"/>
                <c:pt idx="0">
                  <c:v>学生自评</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[李思汉.xlsx]Sheet1!$D$3:$D$8</c:f>
              <c:numCache>
                <c:formatCode>General</c:formatCode>
                <c:ptCount val="6"/>
                <c:pt idx="5">
                  <c:v>88</c:v>
                </c:pt>
              </c:numCache>
            </c:numRef>
          </c:val>
        </c:ser>
        <c:ser>
          <c:idx val="3"/>
          <c:order val="3"/>
          <c:tx>
            <c:strRef>
              <c:f>[李思汉.xlsx]Sheet1!$E$2</c:f>
              <c:strCache>
                <c:ptCount val="1"/>
                <c:pt idx="0">
                  <c:v>学生互评</c:v>
                </c:pt>
              </c:strCache>
            </c:strRef>
          </c:tx>
          <c:spPr>
            <a:solidFill>
              <a:schemeClr val="accent4"/>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[李思汉.xlsx]Sheet1!$E$3:$E$8</c:f>
              <c:numCache>
                <c:formatCode>General</c:formatCode>
                <c:ptCount val="6"/>
                <c:pt idx="3">
                  <c:v>76</c:v>
                </c:pt>
                <c:pt idx="4">
                  <c:v>98</c:v>
                </c:pt>
                <c:pt idx="5">
                  <c:v>90</c:v>
                </c:pt>
              </c:numCache>
            </c:numRef>
          </c:val>
        </c:ser>
        <c:dLbls>
          <c:showLegendKey val="0"/>
          <c:showVal val="1"/>
          <c:showCatName val="0"/>
          <c:showSerName val="0"/>
          <c:showPercent val="0"/>
          <c:showBubbleSize val="0"/>
        </c:dLbls>
        <c:gapWidth val="246"/>
        <c:overlap val="-28"/>
        <c:axId val="685763667"/>
        <c:axId val="69794637"/>
      </c:barChart>
      <c:catAx>
        <c:axId val="685763667"/>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9794637"/>
        <c:crosses val="autoZero"/>
        <c:auto val="1"/>
        <c:lblAlgn val="ctr"/>
        <c:lblOffset val="100"/>
        <c:noMultiLvlLbl val="0"/>
      </c:catAx>
      <c:valAx>
        <c:axId val="69794637"/>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85763667"/>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086e44c-266d-4306-b830-4d1fc9051c4a}"/>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[李思汉.xlsx]Sheet1!$A$4</c:f>
              <c:strCache>
                <c:ptCount val="1"/>
                <c:pt idx="0">
                  <c:v>数据分析</c:v>
                </c:pt>
              </c:strCache>
            </c:strRef>
          </c:tx>
          <c:spPr>
            <a:solidFill>
              <a:schemeClr val="accent1"/>
            </a:solidFill>
            <a:ln>
              <a:noFill/>
            </a:ln>
            <a:effectLst/>
          </c:spPr>
          <c:invertIfNegative val="0"/>
          <c:dLbls>
            <c:delete val="1"/>
          </c:dLbls>
          <c:cat>
            <c:strRef>
              <c:f>[李思汉.xlsx]Sheet1!$B$2:$C$2</c:f>
              <c:strCache>
                <c:ptCount val="2"/>
                <c:pt idx="0">
                  <c:v>学校</c:v>
                </c:pt>
                <c:pt idx="1">
                  <c:v>企业</c:v>
                </c:pt>
              </c:strCache>
            </c:strRef>
          </c:cat>
          <c:val>
            <c:numRef>
              <c:f>[李思汉.xlsx]Sheet1!$B$4:$C$4</c:f>
              <c:numCache>
                <c:formatCode>General</c:formatCode>
                <c:ptCount val="2"/>
                <c:pt idx="0">
                  <c:v>64</c:v>
                </c:pt>
                <c:pt idx="1">
                  <c:v>69</c:v>
                </c:pt>
              </c:numCache>
            </c:numRef>
          </c:val>
        </c:ser>
        <c:dLbls>
          <c:showLegendKey val="0"/>
          <c:showVal val="0"/>
          <c:showCatName val="0"/>
          <c:showSerName val="0"/>
          <c:showPercent val="0"/>
          <c:showBubbleSize val="0"/>
        </c:dLbls>
        <c:gapWidth val="246"/>
        <c:overlap val="-28"/>
        <c:axId val="838213455"/>
        <c:axId val="229630089"/>
      </c:barChart>
      <c:catAx>
        <c:axId val="838213455"/>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29630089"/>
        <c:crosses val="autoZero"/>
        <c:auto val="1"/>
        <c:lblAlgn val="ctr"/>
        <c:lblOffset val="100"/>
        <c:noMultiLvlLbl val="0"/>
      </c:catAx>
      <c:valAx>
        <c:axId val="229630089"/>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38213455"/>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89a5c09-f604-4cdc-be3d-756406016c3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[李思汉.xlsx]Sheet1!$A$6</c:f>
              <c:strCache>
                <c:ptCount val="1"/>
                <c:pt idx="0">
                  <c:v>方案定制</c:v>
                </c:pt>
              </c:strCache>
            </c:strRef>
          </c:tx>
          <c:spPr>
            <a:solidFill>
              <a:schemeClr val="accent1"/>
            </a:solidFill>
            <a:ln>
              <a:noFill/>
            </a:ln>
            <a:effectLst/>
          </c:spPr>
          <c:invertIfNegative val="0"/>
          <c:dLbls>
            <c:delete val="1"/>
          </c:dLbls>
          <c:cat>
            <c:strRef>
              <c:f>[李思汉.xlsx]Sheet1!$B$2:$E$2</c:f>
              <c:strCache>
                <c:ptCount val="3"/>
                <c:pt idx="0">
                  <c:v>学校</c:v>
                </c:pt>
                <c:pt idx="1">
                  <c:v>企业</c:v>
                </c:pt>
                <c:pt idx="2">
                  <c:v>学生互评</c:v>
                </c:pt>
              </c:strCache>
            </c:strRef>
          </c:cat>
          <c:val>
            <c:numRef>
              <c:f>Sheet1!$B$6:$E$6</c:f>
              <c:numCache>
                <c:formatCode>General</c:formatCode>
                <c:ptCount val="3"/>
                <c:pt idx="0">
                  <c:v>57</c:v>
                </c:pt>
                <c:pt idx="1">
                  <c:v>96</c:v>
                </c:pt>
                <c:pt idx="2">
                  <c:v>76</c:v>
                </c:pt>
              </c:numCache>
            </c:numRef>
          </c:val>
        </c:ser>
        <c:dLbls>
          <c:showLegendKey val="0"/>
          <c:showVal val="0"/>
          <c:showCatName val="0"/>
          <c:showSerName val="0"/>
          <c:showPercent val="0"/>
          <c:showBubbleSize val="0"/>
        </c:dLbls>
        <c:gapWidth val="246"/>
        <c:overlap val="-28"/>
        <c:axId val="98546473"/>
        <c:axId val="616755972"/>
      </c:barChart>
      <c:catAx>
        <c:axId val="98546473"/>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16755972"/>
        <c:crosses val="autoZero"/>
        <c:auto val="1"/>
        <c:lblAlgn val="ctr"/>
        <c:lblOffset val="100"/>
        <c:noMultiLvlLbl val="0"/>
      </c:catAx>
      <c:valAx>
        <c:axId val="61675597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854647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9db6982-aa8e-47aa-b152-f6bbb00d5110}"/>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[李思汉.xlsx]Sheet1!$A$7</c:f>
              <c:strCache>
                <c:ptCount val="1"/>
                <c:pt idx="0">
                  <c:v>工具实操</c:v>
                </c:pt>
              </c:strCache>
            </c:strRef>
          </c:tx>
          <c:spPr>
            <a:solidFill>
              <a:schemeClr val="accent1"/>
            </a:solidFill>
            <a:ln>
              <a:noFill/>
            </a:ln>
            <a:effectLst/>
          </c:spPr>
          <c:invertIfNegative val="0"/>
          <c:dLbls>
            <c:delete val="1"/>
          </c:dLbls>
          <c:cat>
            <c:strRef>
              <c:f>[李思汉.xlsx]Sheet1!$B$2:$E$2</c:f>
              <c:strCache>
                <c:ptCount val="2"/>
                <c:pt idx="0">
                  <c:v>学校</c:v>
                </c:pt>
                <c:pt idx="1">
                  <c:v>学生互评</c:v>
                </c:pt>
              </c:strCache>
            </c:strRef>
          </c:cat>
          <c:val>
            <c:numRef>
              <c:f>Sheet1!$B$7:$E$7</c:f>
              <c:numCache>
                <c:formatCode>General</c:formatCode>
                <c:ptCount val="2"/>
                <c:pt idx="0">
                  <c:v>74</c:v>
                </c:pt>
                <c:pt idx="1">
                  <c:v>98</c:v>
                </c:pt>
              </c:numCache>
            </c:numRef>
          </c:val>
        </c:ser>
        <c:dLbls>
          <c:showLegendKey val="0"/>
          <c:showVal val="0"/>
          <c:showCatName val="0"/>
          <c:showSerName val="0"/>
          <c:showPercent val="0"/>
          <c:showBubbleSize val="0"/>
        </c:dLbls>
        <c:gapWidth val="246"/>
        <c:overlap val="-28"/>
        <c:axId val="377201399"/>
        <c:axId val="852550989"/>
      </c:barChart>
      <c:catAx>
        <c:axId val="377201399"/>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52550989"/>
        <c:crosses val="autoZero"/>
        <c:auto val="1"/>
        <c:lblAlgn val="ctr"/>
        <c:lblOffset val="100"/>
        <c:noMultiLvlLbl val="0"/>
      </c:catAx>
      <c:valAx>
        <c:axId val="852550989"/>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77201399"/>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ec3a306-1066-4b1b-b259-b48b0231069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[李思汉.xlsx]Sheet1!$A$8</c:f>
              <c:strCache>
                <c:ptCount val="1"/>
                <c:pt idx="0">
                  <c:v>调整优化</c:v>
                </c:pt>
              </c:strCache>
            </c:strRef>
          </c:tx>
          <c:spPr>
            <a:solidFill>
              <a:schemeClr val="accent1"/>
            </a:solidFill>
            <a:ln>
              <a:noFill/>
            </a:ln>
            <a:effectLst/>
          </c:spPr>
          <c:invertIfNegative val="0"/>
          <c:dLbls>
            <c:delete val="1"/>
          </c:dLbls>
          <c:cat>
            <c:strRef>
              <c:f>[李思汉.xlsx]Sheet1!$B$2:$E$2</c:f>
              <c:strCache>
                <c:ptCount val="3"/>
                <c:pt idx="0">
                  <c:v>学校</c:v>
                </c:pt>
                <c:pt idx="1">
                  <c:v>学生自评</c:v>
                </c:pt>
                <c:pt idx="2">
                  <c:v>学生互评</c:v>
                </c:pt>
              </c:strCache>
            </c:strRef>
          </c:cat>
          <c:val>
            <c:numRef>
              <c:f>Sheet1!$B$8:$E$8</c:f>
              <c:numCache>
                <c:formatCode>General</c:formatCode>
                <c:ptCount val="3"/>
                <c:pt idx="0">
                  <c:v>83</c:v>
                </c:pt>
                <c:pt idx="1">
                  <c:v>88</c:v>
                </c:pt>
                <c:pt idx="2">
                  <c:v>90</c:v>
                </c:pt>
              </c:numCache>
            </c:numRef>
          </c:val>
        </c:ser>
        <c:dLbls>
          <c:showLegendKey val="0"/>
          <c:showVal val="0"/>
          <c:showCatName val="0"/>
          <c:showSerName val="0"/>
          <c:showPercent val="0"/>
          <c:showBubbleSize val="0"/>
        </c:dLbls>
        <c:gapWidth val="246"/>
        <c:overlap val="-28"/>
        <c:axId val="833988865"/>
        <c:axId val="686459586"/>
      </c:barChart>
      <c:catAx>
        <c:axId val="833988865"/>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86459586"/>
        <c:crosses val="autoZero"/>
        <c:auto val="1"/>
        <c:lblAlgn val="ctr"/>
        <c:lblOffset val="100"/>
        <c:noMultiLvlLbl val="0"/>
      </c:catAx>
      <c:valAx>
        <c:axId val="686459586"/>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33988865"/>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5a9ba46f-7feb-40a6-b338-fb2019b3781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2669</Words>
  <Characters>2729</Characters>
  <Lines>71</Lines>
  <Paragraphs>54</Paragraphs>
  <TotalTime>35</TotalTime>
  <ScaleCrop>false</ScaleCrop>
  <LinksUpToDate>false</LinksUpToDate>
  <CharactersWithSpaces>2729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2025-09-27T08:58:00Z</dcterms:created>
  <dc:creator>庆敏 侯</dc:creator>
  <cp:lastModifiedBy>Sternstunde</cp:lastModifiedBy>
  <dcterms:modified xsi:type="dcterms:W3CDTF">2025-09-29T12:29:09Z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eyJoZGlkIjoiZWQyMWE4Zjg0MmRlODNhZGU0MGE5ODQ2MWVhMzIzM2EiLCJ1c2VySWQiOiI0Mjk5MDk4NDUifQ==</vt:lpwstr>
  </property>
  <property fmtid="{D5CDD505-2E9C-101B-9397-08002B2CF9AE}" pid="3" name="KSOProductBuildVer">
    <vt:lpwstr>2052-12.1.0.23125</vt:lpwstr>
  </property>
  <property fmtid="{D5CDD505-2E9C-101B-9397-08002B2CF9AE}" pid="4" name="ICV">
    <vt:lpwstr>B0E0E8E118954B61911709A57D9AEAF9_13</vt:lpwstr>
  </property>
</Properties>
</file>