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olors1.xml" ContentType="application/vnd.ms-office.chartcolorstyle+xml"/>
  <Override PartName="/word/charts/colors2.xml" ContentType="application/vnd.ms-office.chartcolorstyle+xml"/>
  <Override PartName="/word/charts/colors3.xml" ContentType="application/vnd.ms-office.chartcolorstyle+xml"/>
  <Override PartName="/word/charts/colors4.xml" ContentType="application/vnd.ms-office.chartcolorstyle+xml"/>
  <Override PartName="/word/charts/colors5.xml" ContentType="application/vnd.ms-office.chartcolorstyle+xml"/>
  <Override PartName="/word/charts/style1.xml" ContentType="application/vnd.ms-office.chartstyle+xml"/>
  <Override PartName="/word/charts/style2.xml" ContentType="application/vnd.ms-office.chartstyle+xml"/>
  <Override PartName="/word/charts/style3.xml" ContentType="application/vnd.ms-office.chartstyle+xml"/>
  <Override PartName="/word/charts/style4.xml" ContentType="application/vnd.ms-office.chartstyle+xml"/>
  <Override PartName="/word/charts/style5.xml" ContentType="application/vnd.ms-office.chartstyl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EC994A">
      <w:pPr>
        <w:jc w:val="center"/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期货模拟交易大赛实战--能力分析报告</w:t>
      </w:r>
    </w:p>
    <w:p w14:paraId="2A83479A">
      <w:pPr>
        <w:rPr>
          <w:rFonts w:hint="eastAsia" w:ascii="宋体" w:hAnsi="宋体" w:eastAsia="宋体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学号：233061301116</w:t>
      </w:r>
    </w:p>
    <w:p w14:paraId="095EB591">
      <w:pP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姓名：林雨欣</w:t>
      </w:r>
    </w:p>
    <w:p w14:paraId="4B4B803B">
      <w:pP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总分：78（详见项目评分标准）</w:t>
      </w:r>
    </w:p>
    <w:p w14:paraId="61A8003F">
      <w:pPr>
        <w:jc w:val="center"/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4827270" cy="2746375"/>
            <wp:effectExtent l="0" t="0" r="11430" b="15875"/>
            <wp:docPr id="1753302902" name="图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14:paraId="75D516DC">
      <w:pP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从整体来看：</w:t>
      </w:r>
    </w:p>
    <w:p w14:paraId="774D4C2E">
      <w:pPr>
        <w:ind w:firstLine="420"/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在优势方面，企业对学生的方案定制能力评价突出，反映出该生能够将理论方法有效转化为实务方案，具备支持企业决策的专业潜力。除工具实操外，学生在多数能力项上得分均超过74分，总分达到78分，整体表现均衡扎实，体现出对期货模拟交易各环节的掌握较为全面，具备良好的综合应用能力。</w:t>
      </w:r>
    </w:p>
    <w:p w14:paraId="6B70773F">
      <w:pPr>
        <w:ind w:firstLine="420"/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在短板方面，学生的工具实操能力明显不足，系统操作表现欠佳，这在高度依赖实操效率与准确性的期货交易中尤为关键。此外，多项能力在创新性、深度与熟练度方面仍有提升空间，例如调整优化不够灵活、数据分析深度有限、方案定制缺乏突破性思维等，这些都制约了其整体竞争力的进一步提升。</w:t>
      </w:r>
    </w:p>
    <w:p w14:paraId="60CAD3B5">
      <w:pP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6028C049">
      <w:pP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具体来看：</w:t>
      </w:r>
    </w:p>
    <w:p w14:paraId="1665A230">
      <w:pP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系统操作能力</w:t>
      </w:r>
    </w:p>
    <w:p w14:paraId="784FFB81">
      <w:pPr>
        <w:ind w:firstLine="420"/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在系统操作能力方面，学校评分为75分，表明学生基本能够在规定时间内完成金融业务操作流程。但从操作正确率（75%-84%）来看，过程中仍存在一定的不稳定性，例如偶有操作卡顿、功能定位不够迅速等问题。</w:t>
      </w:r>
    </w:p>
    <w:p w14:paraId="35B36552">
      <w:pPr>
        <w:ind w:firstLine="420"/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总体而言，学生已具备期货模拟交易平台的基础操作能力，但在熟练度和系统功能运用的灵活性上仍需加强。尤其在处理复杂任务时，操作准确性有待提升；面对突发状况时的应变能力，也需进一步培养。</w:t>
      </w:r>
    </w:p>
    <w:p w14:paraId="64CFA456">
      <w:pP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数据分析能力</w:t>
      </w:r>
    </w:p>
    <w:p w14:paraId="0CE06FE1">
      <w:pPr>
        <w:jc w:val="center"/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4827270" cy="2746375"/>
            <wp:effectExtent l="0" t="0" r="11430" b="15875"/>
            <wp:docPr id="1534005755" name="图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70475A4D">
      <w:pPr>
        <w:ind w:firstLine="420"/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在数据分析能力方面，学校评分为82分，企业评分为80分。学校评价指出，学生能够运用合理的方法完成分析，报告结构完整、过程规范，所得结论具有可信度，能够准确反映数据的基本趋势。企业方则认可分析结果对实际业务具备指导意义，部分结论已为相关决策提供了有效参考。双方均指出，该生在分析的深度与创新性上仍有提升空间，未来可进一步加强对业务场景的理解，拓展分析视角，以提供更具洞察力和针对性的解决方案。</w:t>
      </w:r>
    </w:p>
    <w:p w14:paraId="54728F62">
      <w:pP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71BAFC58">
      <w:pP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风险控制能力</w:t>
      </w:r>
    </w:p>
    <w:p w14:paraId="4770DF25">
      <w:pPr>
        <w:ind w:firstLine="420"/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在风险控制能力方面，学校评分为74分。具体表现为，当风险发生时，学生能够在规定时间内启动应对流程，其响应及时性与措施准确性均处于75%-84%区间，展现出对风险事件的基本控制能力。这一成绩反映出学生已具备一定的风险意识和初步的实战应对能力，在模拟交易环境中能够执行必要的风险管控动作，避免损失进一步扩大。</w:t>
      </w:r>
    </w:p>
    <w:p w14:paraId="0196184A">
      <w:pPr>
        <w:ind w:firstLine="420"/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然而，学生在风险识别的敏锐度、控制措施的执行效率及预案使用的熟练程度上仍有提升空间。未来若能进一步系统学习风控理论，加强在复杂情境下的实操训练，特别是在压力环境中提升决策速度与应对精度，将有助于其构建更全面、更稳健的风险管理体系。</w:t>
      </w:r>
    </w:p>
    <w:p w14:paraId="1834A787">
      <w:pP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3205E789">
      <w:pP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方案定制能力</w:t>
      </w:r>
    </w:p>
    <w:p w14:paraId="27902EDD">
      <w:pPr>
        <w:jc w:val="center"/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4827270" cy="2746375"/>
            <wp:effectExtent l="0" t="0" r="11430" b="15875"/>
            <wp:docPr id="1986172944" name="图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550251B7">
      <w:pPr>
        <w:ind w:firstLine="420"/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方案定制能力方面，学校评分为83分，企业评分为78分，学生互评得分为77分。学校评价认为，学生所设计的方案结构较为完整，方法具有一定科学性，整体可行性较高，能够较好地满足客户的基本金融需求。企业方则指出，方案与实际客户反馈的匹配度一般，虽可覆盖部分需求，但整体客户评价仍属中等。学生互评反馈显示，方案在创新性方面有所欠缺，虽能围绕客户需求展开设计，实用性尚可，但整体解决方案的亮点不足。</w:t>
      </w:r>
    </w:p>
    <w:p w14:paraId="5505C141">
      <w:pPr>
        <w:ind w:firstLine="420"/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综合三方评价可见，学生已具备方案定制的基础能力，能够搭建合理框架并兼顾实操可行性。然而，在方案的系统性、设计的严谨性、内容的创新性以及与客户需求的高度契合等方面，仍有进一步提升的空间。未来应更加注重将理论知识与实际业务场景相结合，强化差异化设计与客户洞察能力，以提升方案的整体质量与客户满意度。</w:t>
      </w:r>
    </w:p>
    <w:p w14:paraId="4434217C">
      <w:pP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2F143A26">
      <w:pP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工具实操能力</w:t>
      </w:r>
    </w:p>
    <w:p w14:paraId="3607A091">
      <w:pPr>
        <w:ind w:firstLine="420"/>
        <w:jc w:val="center"/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4827270" cy="2746375"/>
            <wp:effectExtent l="0" t="0" r="11430" b="15875"/>
            <wp:docPr id="2039194933" name="图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657EFB54">
      <w:pPr>
        <w:ind w:firstLine="420"/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在工具实操能力方面，学校评分为63分，学生互评则为79分，两者存在一定差异。学校评价显示，学生的无错误操作次数处于规定范围的65%–74%之间，整体操作流畅度不足，失误频率较高，反映出基础操作环节尚不扎实。而学生互评得分相对较高，可能因其更关注在实际任务中灵活运用工具解决问题的能力。</w:t>
      </w:r>
    </w:p>
    <w:p w14:paraId="537CADD1">
      <w:pPr>
        <w:ind w:firstLine="420"/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综合来看，该生在面对具体任务时具备一定的应用能力，但在操作的规范性、稳定性和功能使用的全面性方面仍有明显不足。后续需重点加强基础操作的反复训练，提升操作的准确度和熟练度，同时进一步深化对工具系统功能的理解与运用能力。</w:t>
      </w:r>
    </w:p>
    <w:p w14:paraId="764D5FD0">
      <w:pP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031B6FBC">
      <w:pP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调整优化能力</w:t>
      </w:r>
    </w:p>
    <w:p w14:paraId="4E9A34CC">
      <w:pPr>
        <w:jc w:val="center"/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4827270" cy="2746375"/>
            <wp:effectExtent l="0" t="0" r="11430" b="15875"/>
            <wp:docPr id="1820460427" name="图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12638DC2">
      <w:pPr>
        <w:ind w:firstLine="420"/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在调整优化能力方面，学校评分为83分，学生自评为76分，学生互评则为81分。学校评价认为，学生在项目中的目标达成率处于85%–94%的高位区间，优化调整频次较高且成效明显，展现出较强的持续改进意识和执行能力。学生自评显示其在任务推进中的主动性一般，但能完成基本优化要求；学生互评则反映出其在创新性方面尚有提升空间。</w:t>
      </w:r>
    </w:p>
    <w:p w14:paraId="3DAE6AAD">
      <w:pPr>
        <w:ind w:firstLine="420"/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综合来看，该生已具备良好的调整优化基础，能够提出合理方案并有效推动项目完善，整体表现获得多方认可。未来若能在保持现有执行力的基础上，进一步增强优化策略的创新性和自主改进的主动性，将有助于该能力达到更高水平。</w:t>
      </w:r>
    </w:p>
    <w:p w14:paraId="4589DA63">
      <w:pPr>
        <w:ind w:firstLine="420"/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提升建议：</w:t>
      </w:r>
    </w:p>
    <w:p w14:paraId="4DFDD26E">
      <w:pPr>
        <w:ind w:firstLine="420"/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结合评分可知，</w:t>
      </w: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需要系统操作、数据分析、风险控制、方案定制、工具实操、调整优化及持续学习等多维度能力的协同发展。系统操作是基础，要求交易者熟练掌握平台功能，确保指令执行的准确与高效。数据分析能力则涉及对基本面与技术面的综合研判，揭示价格波动背后的逻辑与动因。风险控制是交易的生命线，通过严格的仓位管理和止损纪律保障资金安全。上述能力共同构成交易体系的核心框架，而方案定制能力则将其转化为贴合个人风格的稳定策略。</w:t>
      </w:r>
    </w:p>
    <w:p w14:paraId="1D7E99BC">
      <w:pPr>
        <w:ind w:firstLine="420"/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实战过程中，工具实操的熟练程度直接影响决策效率，高效运用软件功能有助于提升分析与执行质量。同时，市场环境不断变化，调整优化能力显得尤为关键，包括根据行情与账户状况灵活修正策略、控制风险敞口，并保持冷静的心态以克服情绪干扰。所有这些能力的积累与升级，都建立在持续学习的基础上——通过复盘总结、跟踪市场动态、吸收新知识，不断推动交易体系的迭代与进化。</w:t>
      </w:r>
    </w:p>
    <w:p w14:paraId="6F0803CD">
      <w:pPr>
        <w:ind w:firstLine="420"/>
        <w:rPr>
          <w:rFonts w:hint="eastAsia"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综上所述，期货交易的成功，依赖于扎实的操作功底、严谨的风控意识、灵活的应变能力，以及持之以恒的学习态度。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7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E9D"/>
    <w:rsid w:val="00004E18"/>
    <w:rsid w:val="00022CD3"/>
    <w:rsid w:val="000565DF"/>
    <w:rsid w:val="0007192B"/>
    <w:rsid w:val="000778D1"/>
    <w:rsid w:val="001C244F"/>
    <w:rsid w:val="00246EA9"/>
    <w:rsid w:val="002C0362"/>
    <w:rsid w:val="002C141C"/>
    <w:rsid w:val="003438FE"/>
    <w:rsid w:val="00346BA1"/>
    <w:rsid w:val="00347253"/>
    <w:rsid w:val="00354D65"/>
    <w:rsid w:val="003861F7"/>
    <w:rsid w:val="00411A6A"/>
    <w:rsid w:val="00435B3E"/>
    <w:rsid w:val="00441527"/>
    <w:rsid w:val="004A17FA"/>
    <w:rsid w:val="004A24BA"/>
    <w:rsid w:val="004B4178"/>
    <w:rsid w:val="005372FC"/>
    <w:rsid w:val="00547B1B"/>
    <w:rsid w:val="005F2134"/>
    <w:rsid w:val="00600D2E"/>
    <w:rsid w:val="0064531A"/>
    <w:rsid w:val="00676500"/>
    <w:rsid w:val="00816E86"/>
    <w:rsid w:val="00837A1B"/>
    <w:rsid w:val="009574C4"/>
    <w:rsid w:val="0096146D"/>
    <w:rsid w:val="00964AF6"/>
    <w:rsid w:val="00980F97"/>
    <w:rsid w:val="009C50FB"/>
    <w:rsid w:val="00AD4EFE"/>
    <w:rsid w:val="00AF16F7"/>
    <w:rsid w:val="00B110FF"/>
    <w:rsid w:val="00B11193"/>
    <w:rsid w:val="00B62F69"/>
    <w:rsid w:val="00E04E9D"/>
    <w:rsid w:val="00E538E1"/>
    <w:rsid w:val="00E96250"/>
    <w:rsid w:val="00F458C5"/>
    <w:rsid w:val="00F666AA"/>
    <w:rsid w:val="00F7515F"/>
    <w:rsid w:val="1F1901EC"/>
    <w:rsid w:val="6F372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19"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6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35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27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6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7">
    <w:name w:val="标题 1 字符"/>
    <w:basedOn w:val="16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8">
    <w:name w:val="标题 2 字符"/>
    <w:basedOn w:val="16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9">
    <w:name w:val="标题 3 字符"/>
    <w:basedOn w:val="16"/>
    <w:link w:val="4"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0">
    <w:name w:val="标题 4 字符"/>
    <w:basedOn w:val="16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1">
    <w:name w:val="标题 5 字符"/>
    <w:basedOn w:val="16"/>
    <w:link w:val="6"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2">
    <w:name w:val="标题 6 字符"/>
    <w:basedOn w:val="16"/>
    <w:link w:val="7"/>
    <w:semiHidden/>
    <w:uiPriority w:val="9"/>
    <w:rPr>
      <w:rFonts w:cstheme="majorBidi"/>
      <w:b/>
      <w:bCs/>
      <w:color w:val="104862" w:themeColor="accent1" w:themeShade="BF"/>
    </w:rPr>
  </w:style>
  <w:style w:type="character" w:customStyle="1" w:styleId="23">
    <w:name w:val="标题 7 字符"/>
    <w:basedOn w:val="16"/>
    <w:link w:val="8"/>
    <w:semiHidden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8 字符"/>
    <w:basedOn w:val="16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9 字符"/>
    <w:basedOn w:val="16"/>
    <w:link w:val="10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字符"/>
    <w:basedOn w:val="16"/>
    <w:link w:val="14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副标题 字符"/>
    <w:basedOn w:val="16"/>
    <w:link w:val="13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9">
    <w:name w:val="引用 字符"/>
    <w:basedOn w:val="16"/>
    <w:link w:val="28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ind w:left="720"/>
      <w:contextualSpacing/>
    </w:pPr>
  </w:style>
  <w:style w:type="character" w:customStyle="1" w:styleId="31">
    <w:name w:val="Intense Emphasis"/>
    <w:basedOn w:val="16"/>
    <w:qFormat/>
    <w:uiPriority w:val="21"/>
    <w:rPr>
      <w:i/>
      <w:iCs/>
      <w:color w:val="104862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3">
    <w:name w:val="明显引用 字符"/>
    <w:basedOn w:val="16"/>
    <w:link w:val="32"/>
    <w:qFormat/>
    <w:uiPriority w:val="30"/>
    <w:rPr>
      <w:i/>
      <w:iCs/>
      <w:color w:val="104862" w:themeColor="accent1" w:themeShade="BF"/>
    </w:rPr>
  </w:style>
  <w:style w:type="character" w:customStyle="1" w:styleId="34">
    <w:name w:val="Intense Reference"/>
    <w:basedOn w:val="16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5">
    <w:name w:val="页眉 字符"/>
    <w:basedOn w:val="16"/>
    <w:link w:val="12"/>
    <w:qFormat/>
    <w:uiPriority w:val="99"/>
    <w:rPr>
      <w:sz w:val="18"/>
      <w:szCs w:val="18"/>
    </w:rPr>
  </w:style>
  <w:style w:type="character" w:customStyle="1" w:styleId="36">
    <w:name w:val="页脚 字符"/>
    <w:basedOn w:val="16"/>
    <w:link w:val="11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hart" Target="charts/chart5.xml"/><Relationship Id="rId7" Type="http://schemas.openxmlformats.org/officeDocument/2006/relationships/chart" Target="charts/chart4.xml"/><Relationship Id="rId6" Type="http://schemas.openxmlformats.org/officeDocument/2006/relationships/chart" Target="charts/chart3.xml"/><Relationship Id="rId5" Type="http://schemas.openxmlformats.org/officeDocument/2006/relationships/chart" Target="charts/chart2.xml"/><Relationship Id="rId4" Type="http://schemas.openxmlformats.org/officeDocument/2006/relationships/chart" Target="charts/chart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3" Type="http://schemas.microsoft.com/office/2011/relationships/chartColorStyle" Target="colors4.xml"/><Relationship Id="rId2" Type="http://schemas.microsoft.com/office/2011/relationships/chartStyle" Target="style4.xml"/><Relationship Id="rId1" Type="http://schemas.openxmlformats.org/officeDocument/2006/relationships/oleObject" Target="file:///C:\Users\Eve\Desktop\&#23665;&#19996;&#31649;&#29702;&#23398;&#38498;\&#24037;&#20316;&#25991;&#20214;\&#37329;&#34701;&#31185;&#25216;&#31995;\2025.9.26\&#38543;&#26426;&#20998;&#25968;\&#26446;&#24605;&#27721;.xlsx" TargetMode="External"/></Relationships>
</file>

<file path=word/charts/_rels/chart2.xml.rels><?xml version="1.0" encoding="UTF-8" standalone="yes"?>
<Relationships xmlns="http://schemas.openxmlformats.org/package/2006/relationships"><Relationship Id="rId3" Type="http://schemas.microsoft.com/office/2011/relationships/chartColorStyle" Target="colors2.xml"/><Relationship Id="rId2" Type="http://schemas.microsoft.com/office/2011/relationships/chartStyle" Target="style2.xml"/><Relationship Id="rId1" Type="http://schemas.openxmlformats.org/officeDocument/2006/relationships/oleObject" Target="file:///C:\Users\Eve\Desktop\&#23665;&#19996;&#31649;&#29702;&#23398;&#38498;\&#24037;&#20316;&#25991;&#20214;\&#37329;&#34701;&#31185;&#25216;&#31995;\2025.9.26\&#38543;&#26426;&#20998;&#25968;\&#26446;&#24605;&#27721;.xlsx" TargetMode="External"/></Relationships>
</file>

<file path=word/charts/_rels/chart3.xml.rels><?xml version="1.0" encoding="UTF-8" standalone="yes"?>
<Relationships xmlns="http://schemas.openxmlformats.org/package/2006/relationships"><Relationship Id="rId3" Type="http://schemas.microsoft.com/office/2011/relationships/chartColorStyle" Target="colors3.xml"/><Relationship Id="rId2" Type="http://schemas.microsoft.com/office/2011/relationships/chartStyle" Target="style3.xml"/><Relationship Id="rId1" Type="http://schemas.openxmlformats.org/officeDocument/2006/relationships/oleObject" Target="file:///C:\Users\Eve\Desktop\&#23665;&#19996;&#31649;&#29702;&#23398;&#38498;\&#24037;&#20316;&#25991;&#20214;\&#37329;&#34701;&#31185;&#25216;&#31995;\2025.9.26\&#38543;&#26426;&#20998;&#25968;\&#26446;&#24605;&#27721;.xlsx" TargetMode="External"/></Relationships>
</file>

<file path=word/charts/_rels/chart4.xml.rels><?xml version="1.0" encoding="UTF-8" standalone="yes"?>
<Relationships xmlns="http://schemas.openxmlformats.org/package/2006/relationships"><Relationship Id="rId3" Type="http://schemas.microsoft.com/office/2011/relationships/chartColorStyle" Target="colors5.xml"/><Relationship Id="rId2" Type="http://schemas.microsoft.com/office/2011/relationships/chartStyle" Target="style5.xml"/><Relationship Id="rId1" Type="http://schemas.openxmlformats.org/officeDocument/2006/relationships/oleObject" Target="file:///C:\Users\Eve\Desktop\&#23665;&#19996;&#31649;&#29702;&#23398;&#38498;\&#24037;&#20316;&#25991;&#20214;\&#37329;&#34701;&#31185;&#25216;&#31995;\2025.9.26\&#38543;&#26426;&#20998;&#25968;\&#26446;&#24605;&#27721;.xlsx" TargetMode="External"/></Relationships>
</file>

<file path=word/charts/_rels/chart5.xml.rels><?xml version="1.0" encoding="UTF-8" standalone="yes"?>
<Relationships xmlns="http://schemas.openxmlformats.org/package/2006/relationships"><Relationship Id="rId3" Type="http://schemas.microsoft.com/office/2011/relationships/chartColorStyle" Target="colors1.xml"/><Relationship Id="rId2" Type="http://schemas.microsoft.com/office/2011/relationships/chartStyle" Target="style1.xml"/><Relationship Id="rId1" Type="http://schemas.openxmlformats.org/officeDocument/2006/relationships/oleObject" Target="file:///C:\Users\Eve\Desktop\&#23665;&#19996;&#31649;&#29702;&#23398;&#38498;\&#24037;&#20316;&#25991;&#20214;\&#37329;&#34701;&#31185;&#25216;&#31995;\2025.9.26\&#38543;&#26426;&#20998;&#25968;\&#26446;&#24605;&#27721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zh-CN" sz="1400" b="1" i="0" u="none" strike="noStrike" kern="1200" baseline="0">
                <a:solidFill>
                  <a:schemeClr val="tx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CN" altLang="en-US"/>
              <a:t>能力评分统计</a:t>
            </a:r>
            <a:endParaRPr lang="zh-CN" altLang="en-US"/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[李思汉.xlsx]Sheet1!$B$2</c:f>
              <c:strCache>
                <c:ptCount val="1"/>
                <c:pt idx="0">
                  <c:v>学校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zh-CN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[李思汉.xlsx]Sheet1!$A$3:$A$8</c:f>
              <c:strCache>
                <c:ptCount val="6"/>
                <c:pt idx="0">
                  <c:v>系统操作</c:v>
                </c:pt>
                <c:pt idx="1">
                  <c:v>数据分析</c:v>
                </c:pt>
                <c:pt idx="2">
                  <c:v>风险控制</c:v>
                </c:pt>
                <c:pt idx="3">
                  <c:v>方案定制</c:v>
                </c:pt>
                <c:pt idx="4">
                  <c:v>工具实操</c:v>
                </c:pt>
                <c:pt idx="5">
                  <c:v>调整优化</c:v>
                </c:pt>
              </c:strCache>
            </c:strRef>
          </c:cat>
          <c:val>
            <c:numRef>
              <c:f>[李思汉.xlsx]Sheet1!$B$3:$B$8</c:f>
              <c:numCache>
                <c:formatCode>General</c:formatCode>
                <c:ptCount val="6"/>
                <c:pt idx="0">
                  <c:v>75</c:v>
                </c:pt>
                <c:pt idx="1">
                  <c:v>82</c:v>
                </c:pt>
                <c:pt idx="2">
                  <c:v>74</c:v>
                </c:pt>
                <c:pt idx="3">
                  <c:v>83</c:v>
                </c:pt>
                <c:pt idx="4">
                  <c:v>68</c:v>
                </c:pt>
                <c:pt idx="5">
                  <c:v>83</c:v>
                </c:pt>
              </c:numCache>
            </c:numRef>
          </c:val>
        </c:ser>
        <c:ser>
          <c:idx val="1"/>
          <c:order val="1"/>
          <c:tx>
            <c:strRef>
              <c:f>[李思汉.xlsx]Sheet1!$C$2</c:f>
              <c:strCache>
                <c:ptCount val="1"/>
                <c:pt idx="0">
                  <c:v>企业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zh-CN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[李思汉.xlsx]Sheet1!$A$3:$A$8</c:f>
              <c:strCache>
                <c:ptCount val="6"/>
                <c:pt idx="0">
                  <c:v>系统操作</c:v>
                </c:pt>
                <c:pt idx="1">
                  <c:v>数据分析</c:v>
                </c:pt>
                <c:pt idx="2">
                  <c:v>风险控制</c:v>
                </c:pt>
                <c:pt idx="3">
                  <c:v>方案定制</c:v>
                </c:pt>
                <c:pt idx="4">
                  <c:v>工具实操</c:v>
                </c:pt>
                <c:pt idx="5">
                  <c:v>调整优化</c:v>
                </c:pt>
              </c:strCache>
            </c:strRef>
          </c:cat>
          <c:val>
            <c:numRef>
              <c:f>[李思汉.xlsx]Sheet1!$C$3:$C$8</c:f>
              <c:numCache>
                <c:formatCode>General</c:formatCode>
                <c:ptCount val="6"/>
                <c:pt idx="1">
                  <c:v>80</c:v>
                </c:pt>
                <c:pt idx="3">
                  <c:v>78</c:v>
                </c:pt>
              </c:numCache>
            </c:numRef>
          </c:val>
        </c:ser>
        <c:ser>
          <c:idx val="2"/>
          <c:order val="2"/>
          <c:tx>
            <c:strRef>
              <c:f>[李思汉.xlsx]Sheet1!$D$2</c:f>
              <c:strCache>
                <c:ptCount val="1"/>
                <c:pt idx="0">
                  <c:v>学生自评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zh-CN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[李思汉.xlsx]Sheet1!$A$3:$A$8</c:f>
              <c:strCache>
                <c:ptCount val="6"/>
                <c:pt idx="0">
                  <c:v>系统操作</c:v>
                </c:pt>
                <c:pt idx="1">
                  <c:v>数据分析</c:v>
                </c:pt>
                <c:pt idx="2">
                  <c:v>风险控制</c:v>
                </c:pt>
                <c:pt idx="3">
                  <c:v>方案定制</c:v>
                </c:pt>
                <c:pt idx="4">
                  <c:v>工具实操</c:v>
                </c:pt>
                <c:pt idx="5">
                  <c:v>调整优化</c:v>
                </c:pt>
              </c:strCache>
            </c:strRef>
          </c:cat>
          <c:val>
            <c:numRef>
              <c:f>[李思汉.xlsx]Sheet1!$D$3:$D$8</c:f>
              <c:numCache>
                <c:formatCode>General</c:formatCode>
                <c:ptCount val="6"/>
                <c:pt idx="5">
                  <c:v>76</c:v>
                </c:pt>
              </c:numCache>
            </c:numRef>
          </c:val>
        </c:ser>
        <c:ser>
          <c:idx val="3"/>
          <c:order val="3"/>
          <c:tx>
            <c:strRef>
              <c:f>[李思汉.xlsx]Sheet1!$E$2</c:f>
              <c:strCache>
                <c:ptCount val="1"/>
                <c:pt idx="0">
                  <c:v>学生互评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zh-CN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[李思汉.xlsx]Sheet1!$A$3:$A$8</c:f>
              <c:strCache>
                <c:ptCount val="6"/>
                <c:pt idx="0">
                  <c:v>系统操作</c:v>
                </c:pt>
                <c:pt idx="1">
                  <c:v>数据分析</c:v>
                </c:pt>
                <c:pt idx="2">
                  <c:v>风险控制</c:v>
                </c:pt>
                <c:pt idx="3">
                  <c:v>方案定制</c:v>
                </c:pt>
                <c:pt idx="4">
                  <c:v>工具实操</c:v>
                </c:pt>
                <c:pt idx="5">
                  <c:v>调整优化</c:v>
                </c:pt>
              </c:strCache>
            </c:strRef>
          </c:cat>
          <c:val>
            <c:numRef>
              <c:f>[李思汉.xlsx]Sheet1!$E$3:$E$8</c:f>
              <c:numCache>
                <c:formatCode>General</c:formatCode>
                <c:ptCount val="6"/>
                <c:pt idx="3">
                  <c:v>77</c:v>
                </c:pt>
                <c:pt idx="4">
                  <c:v>79</c:v>
                </c:pt>
                <c:pt idx="5">
                  <c:v>81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246"/>
        <c:overlap val="-28"/>
        <c:axId val="186704368"/>
        <c:axId val="125135073"/>
      </c:barChart>
      <c:catAx>
        <c:axId val="186704368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125135073"/>
        <c:crosses val="autoZero"/>
        <c:auto val="1"/>
        <c:lblAlgn val="ctr"/>
        <c:lblOffset val="100"/>
        <c:noMultiLvlLbl val="0"/>
      </c:catAx>
      <c:valAx>
        <c:axId val="12513507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02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18670436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a3f9f881-4d27-4cd4-acbc-85e58e1d39a5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1400" b="1" i="0" u="none" strike="noStrike" kern="1200" baseline="0">
              <a:solidFill>
                <a:schemeClr val="tx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[李思汉.xlsx]Sheet1!$A$4</c:f>
              <c:strCache>
                <c:ptCount val="1"/>
                <c:pt idx="0">
                  <c:v>数据分析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strRef>
              <c:f>[李思汉.xlsx]Sheet1!$B$2:$C$2</c:f>
              <c:strCache>
                <c:ptCount val="2"/>
                <c:pt idx="0">
                  <c:v>学校</c:v>
                </c:pt>
                <c:pt idx="1">
                  <c:v>企业</c:v>
                </c:pt>
              </c:strCache>
            </c:strRef>
          </c:cat>
          <c:val>
            <c:numRef>
              <c:f>[李思汉.xlsx]Sheet1!$B$4:$C$4</c:f>
              <c:numCache>
                <c:formatCode>General</c:formatCode>
                <c:ptCount val="2"/>
                <c:pt idx="0">
                  <c:v>82</c:v>
                </c:pt>
                <c:pt idx="1">
                  <c:v>80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46"/>
        <c:overlap val="-28"/>
        <c:axId val="838882864"/>
        <c:axId val="898922106"/>
      </c:barChart>
      <c:catAx>
        <c:axId val="838882864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898922106"/>
        <c:crosses val="autoZero"/>
        <c:auto val="1"/>
        <c:lblAlgn val="ctr"/>
        <c:lblOffset val="100"/>
        <c:noMultiLvlLbl val="0"/>
      </c:catAx>
      <c:valAx>
        <c:axId val="89892210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02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83888286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2051f748-2875-4395-a8ec-9d803409f125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1400" b="1" i="0" u="none" strike="noStrike" kern="1200" baseline="0">
              <a:solidFill>
                <a:schemeClr val="tx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[李思汉.xlsx]Sheet1!$A$6</c:f>
              <c:strCache>
                <c:ptCount val="1"/>
                <c:pt idx="0">
                  <c:v>方案定制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strRef>
              <c:f>[李思汉.xlsx]Sheet1!$B$2:$E$2</c:f>
              <c:strCache>
                <c:ptCount val="3"/>
                <c:pt idx="0">
                  <c:v>学校</c:v>
                </c:pt>
                <c:pt idx="1">
                  <c:v>企业</c:v>
                </c:pt>
                <c:pt idx="2">
                  <c:v>学生互评</c:v>
                </c:pt>
              </c:strCache>
            </c:strRef>
          </c:cat>
          <c:val>
            <c:numRef>
              <c:f>Sheet1!$B$6:$E$6</c:f>
              <c:numCache>
                <c:formatCode>General</c:formatCode>
                <c:ptCount val="3"/>
                <c:pt idx="0">
                  <c:v>83</c:v>
                </c:pt>
                <c:pt idx="1">
                  <c:v>78</c:v>
                </c:pt>
                <c:pt idx="2">
                  <c:v>77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46"/>
        <c:overlap val="-28"/>
        <c:axId val="571741573"/>
        <c:axId val="755240348"/>
      </c:barChart>
      <c:catAx>
        <c:axId val="571741573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755240348"/>
        <c:crosses val="autoZero"/>
        <c:auto val="1"/>
        <c:lblAlgn val="ctr"/>
        <c:lblOffset val="100"/>
        <c:noMultiLvlLbl val="0"/>
      </c:catAx>
      <c:valAx>
        <c:axId val="7552403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02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571741573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0a8a4632-bde2-44d0-8c22-8a309e25a3a7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1400" b="1" i="0" u="none" strike="noStrike" kern="1200" baseline="0">
              <a:solidFill>
                <a:schemeClr val="tx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[李思汉.xlsx]Sheet1!$A$7</c:f>
              <c:strCache>
                <c:ptCount val="1"/>
                <c:pt idx="0">
                  <c:v>工具实操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strRef>
              <c:f>[李思汉.xlsx]Sheet1!$B$2:$E$2</c:f>
              <c:strCache>
                <c:ptCount val="2"/>
                <c:pt idx="0">
                  <c:v>学校</c:v>
                </c:pt>
                <c:pt idx="1">
                  <c:v>学生互评</c:v>
                </c:pt>
              </c:strCache>
            </c:strRef>
          </c:cat>
          <c:val>
            <c:numRef>
              <c:f>Sheet1!$B$7:$E$7</c:f>
              <c:numCache>
                <c:formatCode>General</c:formatCode>
                <c:ptCount val="2"/>
                <c:pt idx="0">
                  <c:v>68</c:v>
                </c:pt>
                <c:pt idx="1">
                  <c:v>79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46"/>
        <c:overlap val="-28"/>
        <c:axId val="429254902"/>
        <c:axId val="503773006"/>
      </c:barChart>
      <c:catAx>
        <c:axId val="429254902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503773006"/>
        <c:crosses val="autoZero"/>
        <c:auto val="1"/>
        <c:lblAlgn val="ctr"/>
        <c:lblOffset val="100"/>
        <c:noMultiLvlLbl val="0"/>
      </c:catAx>
      <c:valAx>
        <c:axId val="50377300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02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42925490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2c53364e-1f05-430a-b8f1-943b8fc920e0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1400" b="1" i="0" u="none" strike="noStrike" kern="1200" baseline="0">
              <a:solidFill>
                <a:schemeClr val="tx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[李思汉.xlsx]Sheet1!$A$8</c:f>
              <c:strCache>
                <c:ptCount val="1"/>
                <c:pt idx="0">
                  <c:v>调整优化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strRef>
              <c:f>[李思汉.xlsx]Sheet1!$B$2:$E$2</c:f>
              <c:strCache>
                <c:ptCount val="3"/>
                <c:pt idx="0">
                  <c:v>学校</c:v>
                </c:pt>
                <c:pt idx="1">
                  <c:v>学生自评</c:v>
                </c:pt>
                <c:pt idx="2">
                  <c:v>学生互评</c:v>
                </c:pt>
              </c:strCache>
            </c:strRef>
          </c:cat>
          <c:val>
            <c:numRef>
              <c:f>Sheet1!$B$8:$E$8</c:f>
              <c:numCache>
                <c:formatCode>General</c:formatCode>
                <c:ptCount val="3"/>
                <c:pt idx="0">
                  <c:v>83</c:v>
                </c:pt>
                <c:pt idx="1">
                  <c:v>76</c:v>
                </c:pt>
                <c:pt idx="2">
                  <c:v>81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46"/>
        <c:overlap val="-28"/>
        <c:axId val="11165873"/>
        <c:axId val="310583592"/>
      </c:barChart>
      <c:catAx>
        <c:axId val="11165873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310583592"/>
        <c:crosses val="autoZero"/>
        <c:auto val="1"/>
        <c:lblAlgn val="ctr"/>
        <c:lblOffset val="100"/>
        <c:noMultiLvlLbl val="0"/>
      </c:catAx>
      <c:valAx>
        <c:axId val="3105835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02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11165873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23adb45a-c0c2-429b-804b-a5e0e1bb2067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100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0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1">
      <cs:styleClr val="auto"/>
    </cs:fillRef>
    <cs:effectRef idx="0"/>
    <cs:fontRef idx="minor">
      <a:schemeClr val="dk1"/>
    </cs:fontRef>
    <cs:spPr>
      <a:ln>
        <a:noFill/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100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0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1">
      <cs:styleClr val="auto"/>
    </cs:fillRef>
    <cs:effectRef idx="0"/>
    <cs:fontRef idx="minor">
      <a:schemeClr val="dk1"/>
    </cs:fontRef>
    <cs:spPr>
      <a:ln>
        <a:noFill/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100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0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1">
      <cs:styleClr val="auto"/>
    </cs:fillRef>
    <cs:effectRef idx="0"/>
    <cs:fontRef idx="minor">
      <a:schemeClr val="dk1"/>
    </cs:fontRef>
    <cs:spPr>
      <a:ln>
        <a:noFill/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100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0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1">
      <cs:styleClr val="auto"/>
    </cs:fillRef>
    <cs:effectRef idx="0"/>
    <cs:fontRef idx="minor">
      <a:schemeClr val="dk1"/>
    </cs:fontRef>
    <cs:spPr>
      <a:ln>
        <a:noFill/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100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0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1">
      <cs:styleClr val="auto"/>
    </cs:fillRef>
    <cs:effectRef idx="0"/>
    <cs:fontRef idx="minor">
      <a:schemeClr val="dk1"/>
    </cs:fontRef>
    <cs:spPr>
      <a:ln>
        <a:noFill/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2321</Words>
  <Characters>2381</Characters>
  <Lines>69</Lines>
  <Paragraphs>56</Paragraphs>
  <TotalTime>49</TotalTime>
  <ScaleCrop>false</ScaleCrop>
  <LinksUpToDate>false</LinksUpToDate>
  <CharactersWithSpaces>2381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2025-09-26T14:29:00Z</dcterms:created>
  <dc:creator>庆敏 侯</dc:creator>
  <cp:lastModifiedBy>Sternstunde</cp:lastModifiedBy>
  <dcterms:modified xsi:type="dcterms:W3CDTF">2025-09-29T12:28:55Z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eyJoZGlkIjoiZWQyMWE4Zjg0MmRlODNhZGU0MGE5ODQ2MWVhMzIzM2EiLCJ1c2VySWQiOiI0Mjk5MDk4NDUifQ==</vt:lpwstr>
  </property>
  <property fmtid="{D5CDD505-2E9C-101B-9397-08002B2CF9AE}" pid="3" name="KSOProductBuildVer">
    <vt:lpwstr>2052-12.1.0.23125</vt:lpwstr>
  </property>
  <property fmtid="{D5CDD505-2E9C-101B-9397-08002B2CF9AE}" pid="4" name="ICV">
    <vt:lpwstr>B4CC23BFDC45414F888FDEE19FD15C68_13</vt:lpwstr>
  </property>
</Properties>
</file>