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olors1.xml" ContentType="application/vnd.ms-office.chartcolorstyle+xml"/>
  <Override PartName="/word/charts/colors2.xml" ContentType="application/vnd.ms-office.chartcolorstyle+xml"/>
  <Override PartName="/word/charts/colors3.xml" ContentType="application/vnd.ms-office.chartcolorstyle+xml"/>
  <Override PartName="/word/charts/colors4.xml" ContentType="application/vnd.ms-office.chartcolorstyle+xml"/>
  <Override PartName="/word/charts/colors5.xml" ContentType="application/vnd.ms-office.chartcolorstyle+xml"/>
  <Override PartName="/word/charts/style1.xml" ContentType="application/vnd.ms-office.chartstyle+xml"/>
  <Override PartName="/word/charts/style2.xml" ContentType="application/vnd.ms-office.chartstyle+xml"/>
  <Override PartName="/word/charts/style3.xml" ContentType="application/vnd.ms-office.chartstyle+xml"/>
  <Override PartName="/word/charts/style4.xml" ContentType="application/vnd.ms-office.chartstyle+xml"/>
  <Override PartName="/word/charts/style5.xml" ContentType="application/vnd.ms-office.chartstyl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F3638A">
      <w:pPr>
        <w:jc w:val="center"/>
        <w:rPr>
          <w:rFonts w:hint="eastAsia" w:ascii="宋体" w:hAnsi="宋体" w:eastAsia="宋体"/>
          <w:color w:val="auto"/>
          <w:szCs w:val="21"/>
        </w:rPr>
      </w:pPr>
      <w:r>
        <w:rPr>
          <w:rFonts w:hint="eastAsia" w:ascii="宋体" w:hAnsi="宋体" w:eastAsia="宋体"/>
          <w:color w:val="auto"/>
          <w:szCs w:val="21"/>
        </w:rPr>
        <w:t>期货模拟交易大赛实战--能力分析报告</w:t>
      </w:r>
    </w:p>
    <w:p w14:paraId="433EAABB">
      <w:pPr>
        <w:rPr>
          <w:rFonts w:hint="eastAsia" w:ascii="宋体" w:hAnsi="宋体" w:eastAsia="宋体"/>
          <w:color w:val="auto"/>
          <w:szCs w:val="21"/>
          <w:lang w:eastAsia="zh-CN"/>
        </w:rPr>
      </w:pPr>
      <w:r>
        <w:rPr>
          <w:rFonts w:hint="eastAsia" w:ascii="宋体" w:hAnsi="宋体" w:eastAsia="宋体"/>
          <w:color w:val="auto"/>
          <w:szCs w:val="21"/>
        </w:rPr>
        <w:t>学号：233061301113</w:t>
      </w:r>
    </w:p>
    <w:p w14:paraId="5628A837">
      <w:pPr>
        <w:rPr>
          <w:rFonts w:hint="eastAsia" w:ascii="宋体" w:hAnsi="宋体" w:eastAsia="宋体"/>
          <w:color w:val="auto"/>
          <w:szCs w:val="21"/>
        </w:rPr>
      </w:pPr>
      <w:r>
        <w:rPr>
          <w:rFonts w:hint="eastAsia" w:ascii="宋体" w:hAnsi="宋体" w:eastAsia="宋体"/>
          <w:color w:val="auto"/>
          <w:szCs w:val="21"/>
        </w:rPr>
        <w:t>姓名：李志巍</w:t>
      </w:r>
    </w:p>
    <w:p w14:paraId="70CA2F7A">
      <w:pPr>
        <w:rPr>
          <w:rFonts w:hint="eastAsia" w:ascii="宋体" w:hAnsi="宋体" w:eastAsia="宋体"/>
          <w:color w:val="auto"/>
          <w:szCs w:val="21"/>
        </w:rPr>
      </w:pPr>
      <w:r>
        <w:rPr>
          <w:rFonts w:hint="eastAsia" w:ascii="宋体" w:hAnsi="宋体" w:eastAsia="宋体"/>
          <w:color w:val="auto"/>
          <w:szCs w:val="21"/>
        </w:rPr>
        <w:t>总分：71（详见项目评分标准）</w:t>
      </w:r>
    </w:p>
    <w:p w14:paraId="178C51EF">
      <w:pPr>
        <w:jc w:val="center"/>
        <w:rPr>
          <w:rFonts w:hint="eastAsia" w:ascii="宋体" w:hAnsi="宋体" w:eastAsia="宋体"/>
          <w:color w:val="auto"/>
          <w:szCs w:val="21"/>
        </w:rPr>
      </w:pPr>
      <w:r>
        <w:rPr>
          <w:rFonts w:ascii="宋体" w:hAnsi="宋体" w:eastAsia="宋体"/>
          <w:color w:val="auto"/>
          <w:szCs w:val="21"/>
        </w:rPr>
        <w:drawing>
          <wp:inline distT="0" distB="0" distL="0" distR="0">
            <wp:extent cx="4826000" cy="2746375"/>
            <wp:effectExtent l="0" t="0" r="12700" b="15875"/>
            <wp:docPr id="1471021975" name="图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"/>
              </a:graphicData>
            </a:graphic>
          </wp:inline>
        </w:drawing>
      </w:r>
    </w:p>
    <w:p w14:paraId="7D3005FA">
      <w:pPr>
        <w:rPr>
          <w:rFonts w:hint="eastAsia" w:ascii="宋体" w:hAnsi="宋体" w:eastAsia="宋体"/>
          <w:color w:val="auto"/>
          <w:szCs w:val="21"/>
        </w:rPr>
      </w:pPr>
      <w:r>
        <w:rPr>
          <w:rFonts w:hint="eastAsia" w:ascii="宋体" w:hAnsi="宋体" w:eastAsia="宋体"/>
          <w:color w:val="auto"/>
          <w:szCs w:val="21"/>
        </w:rPr>
        <w:t>从整体来看：</w:t>
      </w:r>
    </w:p>
    <w:p w14:paraId="664682C0">
      <w:pPr>
        <w:rPr>
          <w:rFonts w:hint="eastAsia" w:ascii="宋体" w:hAnsi="宋体" w:eastAsia="宋体"/>
          <w:color w:val="auto"/>
          <w:szCs w:val="21"/>
        </w:rPr>
      </w:pPr>
      <w:r>
        <w:rPr>
          <w:rFonts w:ascii="宋体" w:hAnsi="宋体" w:eastAsia="宋体"/>
          <w:color w:val="auto"/>
          <w:szCs w:val="21"/>
        </w:rPr>
        <w:t>优势</w:t>
      </w:r>
      <w:r>
        <w:rPr>
          <w:rFonts w:ascii="宋体" w:hAnsi="宋体" w:eastAsia="宋体"/>
          <w:color w:val="auto"/>
          <w:szCs w:val="21"/>
        </w:rPr>
        <w:br w:type="textWrapping"/>
      </w:r>
      <w:r>
        <w:rPr>
          <w:rFonts w:ascii="宋体" w:hAnsi="宋体" w:eastAsia="宋体"/>
          <w:color w:val="auto"/>
          <w:szCs w:val="21"/>
        </w:rPr>
        <w:t>该生在期货模拟交易中展现出优秀的风险控制与数据分析潜能。风险控制能力获得高度认可，显示出严谨的风控纪律和稳健的操作风格；数据分析方面也展现出较强的理论功底和逻辑分析能力。同时，该生对自身工具实操水平充满信心，在团队协作中也展现出良好的操作能力，反映出较强的实践应用潜质。这些优势为其未来的专业发展奠定了坚实基础。</w:t>
      </w:r>
    </w:p>
    <w:p w14:paraId="3A12F7C9">
      <w:pPr>
        <w:rPr>
          <w:rFonts w:hint="eastAsia" w:ascii="宋体" w:hAnsi="宋体" w:eastAsia="宋体"/>
          <w:color w:val="auto"/>
          <w:szCs w:val="21"/>
        </w:rPr>
      </w:pPr>
      <w:r>
        <w:rPr>
          <w:rFonts w:ascii="宋体" w:hAnsi="宋体" w:eastAsia="宋体"/>
          <w:color w:val="auto"/>
          <w:szCs w:val="21"/>
        </w:rPr>
        <w:t>短板</w:t>
      </w:r>
      <w:r>
        <w:rPr>
          <w:rFonts w:ascii="宋体" w:hAnsi="宋体" w:eastAsia="宋体"/>
          <w:color w:val="auto"/>
          <w:szCs w:val="21"/>
        </w:rPr>
        <w:br w:type="textWrapping"/>
      </w:r>
      <w:r>
        <w:rPr>
          <w:rFonts w:ascii="宋体" w:hAnsi="宋体" w:eastAsia="宋体"/>
          <w:color w:val="auto"/>
          <w:szCs w:val="21"/>
        </w:rPr>
        <w:t>值得注意的是，该生在关键能力上存在明显的认知偏差和实战短板。系统操作能力薄弱成为制约交易效率的主要瓶颈，而方案定制与调整优化能力的不足，更暴露出其将理论知识转化为有效交易策略的困难。特别需要关注的是，企业对其数据分析能力的评价与自我认知存在显著落差，表明其分析方法与市场实际需求严重脱节。这种认知与实战的错位，将严重影响其从模拟交易向真实市场的过渡，亟需通过针对性的实战训练加以改善。</w:t>
      </w:r>
    </w:p>
    <w:p w14:paraId="496451CF">
      <w:pPr>
        <w:rPr>
          <w:rFonts w:hint="eastAsia" w:ascii="宋体" w:hAnsi="宋体" w:eastAsia="宋体"/>
          <w:color w:val="auto"/>
          <w:szCs w:val="21"/>
        </w:rPr>
      </w:pPr>
    </w:p>
    <w:p w14:paraId="28A34F56">
      <w:pPr>
        <w:rPr>
          <w:rFonts w:hint="eastAsia" w:ascii="宋体" w:hAnsi="宋体" w:eastAsia="宋体"/>
          <w:color w:val="auto"/>
          <w:szCs w:val="21"/>
        </w:rPr>
      </w:pPr>
      <w:r>
        <w:rPr>
          <w:rFonts w:hint="eastAsia" w:ascii="宋体" w:hAnsi="宋体" w:eastAsia="宋体"/>
          <w:color w:val="auto"/>
          <w:szCs w:val="21"/>
        </w:rPr>
        <w:t>具体来看：</w:t>
      </w:r>
    </w:p>
    <w:p w14:paraId="1C27679E">
      <w:pPr>
        <w:rPr>
          <w:rFonts w:hint="eastAsia" w:ascii="宋体" w:hAnsi="宋体" w:eastAsia="宋体"/>
          <w:color w:val="auto"/>
          <w:szCs w:val="21"/>
        </w:rPr>
      </w:pPr>
      <w:r>
        <w:rPr>
          <w:rFonts w:hint="eastAsia" w:ascii="宋体" w:hAnsi="宋体" w:eastAsia="宋体"/>
          <w:color w:val="auto"/>
          <w:szCs w:val="21"/>
        </w:rPr>
        <w:t>系统操作能力</w:t>
      </w:r>
    </w:p>
    <w:p w14:paraId="2EBED5EA">
      <w:pPr>
        <w:ind w:firstLine="420"/>
        <w:rPr>
          <w:rFonts w:hint="eastAsia" w:ascii="宋体" w:hAnsi="宋体" w:eastAsia="宋体"/>
          <w:color w:val="auto"/>
          <w:szCs w:val="21"/>
        </w:rPr>
      </w:pPr>
      <w:r>
        <w:rPr>
          <w:rFonts w:ascii="宋体" w:hAnsi="宋体" w:eastAsia="宋体"/>
          <w:color w:val="auto"/>
          <w:szCs w:val="21"/>
        </w:rPr>
        <w:t>在系统操作能力上，学校给出了</w:t>
      </w:r>
      <w:r>
        <w:rPr>
          <w:rFonts w:hint="eastAsia" w:ascii="宋体" w:hAnsi="宋体" w:eastAsia="宋体"/>
          <w:color w:val="auto"/>
          <w:szCs w:val="21"/>
        </w:rPr>
        <w:t>60</w:t>
      </w:r>
      <w:r>
        <w:rPr>
          <w:rFonts w:ascii="宋体" w:hAnsi="宋体" w:eastAsia="宋体"/>
          <w:color w:val="auto"/>
          <w:szCs w:val="21"/>
        </w:rPr>
        <w:t>分的评价。这意味着</w:t>
      </w:r>
      <w:r>
        <w:rPr>
          <w:rFonts w:hint="eastAsia" w:ascii="宋体" w:hAnsi="宋体" w:eastAsia="宋体"/>
          <w:color w:val="auto"/>
          <w:szCs w:val="21"/>
        </w:rPr>
        <w:t>勉强完成操作任务，正确率在65%-74%之间，操作不太熟练，出现较多小失误，需要多次尝试才能完成部分操作。</w:t>
      </w:r>
    </w:p>
    <w:p w14:paraId="397A5BDE">
      <w:pPr>
        <w:ind w:firstLine="420"/>
        <w:rPr>
          <w:rFonts w:hint="eastAsia" w:ascii="宋体" w:hAnsi="宋体" w:eastAsia="宋体"/>
          <w:color w:val="auto"/>
          <w:szCs w:val="21"/>
        </w:rPr>
      </w:pPr>
      <w:r>
        <w:rPr>
          <w:rFonts w:ascii="宋体" w:hAnsi="宋体" w:eastAsia="宋体"/>
          <w:color w:val="auto"/>
          <w:szCs w:val="21"/>
        </w:rPr>
        <w:t>由此可见，该生对交易平台的功能特性与操作逻辑尚未形成系统性掌握。在处理多线程任务或复合指令时，操作精准度与响应效率呈现明显下降；面对操作流程中的异常波动或技术性中断，更凸显出其在应急预案执行与快速恢复方面的经验不足。未来应通过高保真模拟环境中的压力测试与故障演练，重点强化复杂场景下的平台驾驭能力与抗干扰能力，逐步构建起兼具弹性与稳定性的操作体系。</w:t>
      </w:r>
    </w:p>
    <w:p w14:paraId="1B226D1A">
      <w:pPr>
        <w:ind w:firstLine="420"/>
        <w:rPr>
          <w:rFonts w:hint="eastAsia" w:ascii="宋体" w:hAnsi="宋体" w:eastAsia="宋体"/>
          <w:color w:val="auto"/>
          <w:szCs w:val="21"/>
        </w:rPr>
      </w:pPr>
      <w:r>
        <w:rPr>
          <w:rFonts w:hint="eastAsia" w:ascii="宋体" w:hAnsi="宋体" w:eastAsia="宋体"/>
          <w:color w:val="auto"/>
          <w:szCs w:val="21"/>
        </w:rPr>
        <w:t>数据分析能力</w:t>
      </w:r>
    </w:p>
    <w:p w14:paraId="12C03226">
      <w:pPr>
        <w:jc w:val="center"/>
        <w:rPr>
          <w:rFonts w:hint="eastAsia" w:ascii="宋体" w:hAnsi="宋体" w:eastAsia="宋体"/>
          <w:color w:val="auto"/>
          <w:szCs w:val="21"/>
        </w:rPr>
      </w:pPr>
      <w:r>
        <w:rPr>
          <w:rFonts w:ascii="宋体" w:hAnsi="宋体" w:eastAsia="宋体"/>
          <w:color w:val="auto"/>
          <w:szCs w:val="21"/>
        </w:rPr>
        <w:drawing>
          <wp:inline distT="0" distB="0" distL="0" distR="0">
            <wp:extent cx="4826000" cy="2746375"/>
            <wp:effectExtent l="0" t="0" r="12700" b="15875"/>
            <wp:docPr id="1760190226" name="图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72509C04">
      <w:pPr>
        <w:ind w:firstLine="420"/>
        <w:rPr>
          <w:rFonts w:hint="eastAsia" w:ascii="宋体" w:hAnsi="宋体" w:eastAsia="宋体"/>
          <w:color w:val="auto"/>
          <w:szCs w:val="21"/>
        </w:rPr>
      </w:pPr>
      <w:r>
        <w:rPr>
          <w:rFonts w:hint="eastAsia" w:ascii="宋体" w:hAnsi="宋体" w:eastAsia="宋体"/>
          <w:color w:val="auto"/>
          <w:szCs w:val="21"/>
        </w:rPr>
        <w:t>数据分析能力学校给出84分，企业给出47分。</w:t>
      </w:r>
      <w:r>
        <w:rPr>
          <w:rFonts w:ascii="宋体" w:hAnsi="宋体" w:eastAsia="宋体"/>
          <w:color w:val="auto"/>
          <w:szCs w:val="21"/>
        </w:rPr>
        <w:t>学校方面认为，</w:t>
      </w:r>
      <w:r>
        <w:rPr>
          <w:rFonts w:hint="eastAsia" w:ascii="宋体" w:hAnsi="宋体" w:eastAsia="宋体"/>
          <w:color w:val="auto"/>
          <w:szCs w:val="21"/>
        </w:rPr>
        <w:t>报告分析方法较合理，对数据的分析较深入，结论较可靠，能为决策提供一定参考</w:t>
      </w:r>
      <w:r>
        <w:rPr>
          <w:rFonts w:ascii="宋体" w:hAnsi="宋体" w:eastAsia="宋体"/>
          <w:color w:val="auto"/>
          <w:szCs w:val="21"/>
        </w:rPr>
        <w:t>；而企业方则指出，该</w:t>
      </w:r>
      <w:r>
        <w:rPr>
          <w:rFonts w:hint="eastAsia" w:ascii="宋体" w:hAnsi="宋体" w:eastAsia="宋体"/>
          <w:color w:val="auto"/>
          <w:szCs w:val="21"/>
        </w:rPr>
        <w:t>数据分析结果对企业业务基本无指导价值，无法为企业带来实际效益</w:t>
      </w:r>
      <w:r>
        <w:rPr>
          <w:rFonts w:ascii="宋体" w:hAnsi="宋体" w:eastAsia="宋体"/>
          <w:color w:val="auto"/>
          <w:szCs w:val="21"/>
        </w:rPr>
        <w:t>。</w:t>
      </w:r>
      <w:r>
        <w:rPr>
          <w:rFonts w:hint="eastAsia" w:ascii="宋体" w:hAnsi="宋体" w:eastAsia="宋体"/>
          <w:color w:val="auto"/>
          <w:szCs w:val="21"/>
        </w:rPr>
        <w:t>综上，</w:t>
      </w:r>
      <w:r>
        <w:rPr>
          <w:rFonts w:ascii="宋体" w:hAnsi="宋体" w:eastAsia="宋体"/>
          <w:color w:val="auto"/>
          <w:szCs w:val="21"/>
        </w:rPr>
        <w:t>当前的分析成果在洞察深度与创新维度上，尚不足以充分响应客户群体日益差异化的价值诉求。要突破这一瓶颈，亟需构建以用户场景为中心的深度洞察体系，通过精准识别不同客群的核心痛点与潜在需求，将创新资源聚焦于关键价值环节。在此基础上，应着力推动分析成果与客户业务场景的深度融合，使创新方案不仅具备理论前瞻性，更能切实解决实际业务挑战，最终实现客户价值感知与满意度的系统性提升。</w:t>
      </w:r>
    </w:p>
    <w:p w14:paraId="197E38D8">
      <w:pPr>
        <w:ind w:firstLine="420"/>
        <w:rPr>
          <w:rFonts w:hint="eastAsia" w:ascii="宋体" w:hAnsi="宋体" w:eastAsia="宋体"/>
          <w:color w:val="auto"/>
          <w:szCs w:val="21"/>
        </w:rPr>
      </w:pPr>
    </w:p>
    <w:p w14:paraId="1A5785D2">
      <w:pPr>
        <w:rPr>
          <w:rFonts w:hint="eastAsia" w:ascii="宋体" w:hAnsi="宋体" w:eastAsia="宋体"/>
          <w:color w:val="auto"/>
          <w:szCs w:val="21"/>
        </w:rPr>
      </w:pPr>
      <w:r>
        <w:rPr>
          <w:rFonts w:hint="eastAsia" w:ascii="宋体" w:hAnsi="宋体" w:eastAsia="宋体"/>
          <w:color w:val="auto"/>
          <w:szCs w:val="21"/>
        </w:rPr>
        <w:t>风险控制能力</w:t>
      </w:r>
    </w:p>
    <w:p w14:paraId="032E8E5B">
      <w:pPr>
        <w:ind w:firstLine="420"/>
        <w:rPr>
          <w:rFonts w:hint="eastAsia" w:ascii="宋体" w:hAnsi="宋体" w:eastAsia="宋体"/>
          <w:color w:val="auto"/>
          <w:szCs w:val="21"/>
        </w:rPr>
      </w:pPr>
      <w:r>
        <w:rPr>
          <w:rFonts w:ascii="宋体" w:hAnsi="宋体" w:eastAsia="宋体"/>
          <w:color w:val="auto"/>
          <w:szCs w:val="21"/>
        </w:rPr>
        <w:t>风险控制能力学校评分为</w:t>
      </w:r>
      <w:r>
        <w:rPr>
          <w:rFonts w:hint="eastAsia" w:ascii="宋体" w:hAnsi="宋体" w:eastAsia="宋体"/>
          <w:color w:val="auto"/>
          <w:szCs w:val="21"/>
        </w:rPr>
        <w:t>84</w:t>
      </w:r>
      <w:r>
        <w:rPr>
          <w:rFonts w:ascii="宋体" w:hAnsi="宋体" w:eastAsia="宋体"/>
          <w:color w:val="auto"/>
          <w:szCs w:val="21"/>
        </w:rPr>
        <w:t>分，说明学生在风险发生时</w:t>
      </w:r>
      <w:r>
        <w:rPr>
          <w:rFonts w:hint="eastAsia" w:ascii="宋体" w:hAnsi="宋体" w:eastAsia="宋体"/>
          <w:color w:val="auto"/>
          <w:szCs w:val="21"/>
        </w:rPr>
        <w:t>能较快采取控制措施，及时率和准确率均在85%-94%之间，能有效控制风险。</w:t>
      </w:r>
      <w:r>
        <w:rPr>
          <w:rFonts w:ascii="宋体" w:hAnsi="宋体" w:eastAsia="宋体"/>
          <w:color w:val="auto"/>
          <w:szCs w:val="21"/>
        </w:rPr>
        <w:t>该生已具备规范的风险管理意识，能够遵循既定流程在常态市场环境中实施有效风控。但在面对市场剧烈波动或结构性风险事件时，其应对表现仍显被动，决策效率与精准度有待加强。未来应通过系统化的极端情景模拟与压力训练，提升其对非线性风险的识别灵敏度与快速响应能力，推动风控模式从事后处置向事前预警与事中调控转型，逐步构建起动态、前瞻的风险适应体系。</w:t>
      </w:r>
    </w:p>
    <w:p w14:paraId="118E4536">
      <w:pPr>
        <w:ind w:firstLine="420"/>
        <w:rPr>
          <w:rFonts w:hint="eastAsia" w:ascii="宋体" w:hAnsi="宋体" w:eastAsia="宋体"/>
          <w:color w:val="auto"/>
          <w:szCs w:val="21"/>
        </w:rPr>
      </w:pPr>
      <w:r>
        <w:rPr>
          <w:rFonts w:hint="eastAsia" w:ascii="宋体" w:hAnsi="宋体" w:eastAsia="宋体"/>
          <w:color w:val="auto"/>
          <w:szCs w:val="21"/>
        </w:rPr>
        <w:t>方案定制能力</w:t>
      </w:r>
    </w:p>
    <w:p w14:paraId="1A01E8C2">
      <w:pPr>
        <w:jc w:val="center"/>
        <w:rPr>
          <w:rFonts w:hint="eastAsia" w:ascii="宋体" w:hAnsi="宋体" w:eastAsia="宋体"/>
          <w:color w:val="auto"/>
          <w:szCs w:val="21"/>
        </w:rPr>
      </w:pPr>
      <w:r>
        <w:rPr>
          <w:rFonts w:ascii="宋体" w:hAnsi="宋体" w:eastAsia="宋体"/>
          <w:color w:val="auto"/>
          <w:szCs w:val="21"/>
        </w:rPr>
        <w:drawing>
          <wp:inline distT="0" distB="0" distL="0" distR="0">
            <wp:extent cx="4826000" cy="2746375"/>
            <wp:effectExtent l="0" t="0" r="12700" b="15875"/>
            <wp:docPr id="299539125" name="图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452B151D">
      <w:pPr>
        <w:ind w:firstLine="420"/>
        <w:rPr>
          <w:rFonts w:hint="eastAsia" w:ascii="宋体" w:hAnsi="宋体" w:eastAsia="宋体"/>
          <w:color w:val="auto"/>
          <w:szCs w:val="21"/>
        </w:rPr>
      </w:pPr>
      <w:r>
        <w:rPr>
          <w:rFonts w:ascii="宋体" w:hAnsi="宋体" w:eastAsia="宋体"/>
          <w:color w:val="auto"/>
          <w:szCs w:val="21"/>
        </w:rPr>
        <w:t>方案定制能力方面，学校评分为</w:t>
      </w:r>
      <w:r>
        <w:rPr>
          <w:rFonts w:hint="eastAsia" w:ascii="宋体" w:hAnsi="宋体" w:eastAsia="宋体"/>
          <w:color w:val="auto"/>
          <w:szCs w:val="21"/>
        </w:rPr>
        <w:t>47</w:t>
      </w:r>
      <w:r>
        <w:rPr>
          <w:rFonts w:ascii="宋体" w:hAnsi="宋体" w:eastAsia="宋体"/>
          <w:color w:val="auto"/>
          <w:szCs w:val="21"/>
        </w:rPr>
        <w:t>分，企业评分为</w:t>
      </w:r>
      <w:r>
        <w:rPr>
          <w:rFonts w:hint="eastAsia" w:ascii="宋体" w:hAnsi="宋体" w:eastAsia="宋体"/>
          <w:color w:val="auto"/>
          <w:szCs w:val="21"/>
        </w:rPr>
        <w:t>82</w:t>
      </w:r>
      <w:r>
        <w:rPr>
          <w:rFonts w:ascii="宋体" w:hAnsi="宋体" w:eastAsia="宋体"/>
          <w:color w:val="auto"/>
          <w:szCs w:val="21"/>
        </w:rPr>
        <w:t>分，学生互评得分为</w:t>
      </w:r>
      <w:r>
        <w:rPr>
          <w:rFonts w:hint="eastAsia" w:ascii="宋体" w:hAnsi="宋体" w:eastAsia="宋体"/>
          <w:color w:val="auto"/>
          <w:szCs w:val="21"/>
        </w:rPr>
        <w:t>70</w:t>
      </w:r>
      <w:r>
        <w:rPr>
          <w:rFonts w:ascii="宋体" w:hAnsi="宋体" w:eastAsia="宋体"/>
          <w:color w:val="auto"/>
          <w:szCs w:val="21"/>
        </w:rPr>
        <w:t>分。学校方面认为</w:t>
      </w:r>
      <w:r>
        <w:rPr>
          <w:rFonts w:hint="eastAsia" w:ascii="宋体" w:hAnsi="宋体" w:eastAsia="宋体"/>
          <w:color w:val="auto"/>
          <w:szCs w:val="21"/>
        </w:rPr>
        <w:t>方案缺乏创新性、针对性和实用性，几乎无法解决客户问题</w:t>
      </w:r>
      <w:r>
        <w:rPr>
          <w:rFonts w:ascii="宋体" w:hAnsi="宋体" w:eastAsia="宋体"/>
          <w:color w:val="auto"/>
          <w:szCs w:val="21"/>
        </w:rPr>
        <w:t>；企业评价指出</w:t>
      </w:r>
      <w:r>
        <w:rPr>
          <w:rFonts w:hint="eastAsia" w:ascii="宋体" w:hAnsi="宋体" w:eastAsia="宋体"/>
          <w:color w:val="auto"/>
          <w:szCs w:val="21"/>
        </w:rPr>
        <w:t>方案与客户反馈匹配度较高，能较好地满足客户需求，客户评价较好</w:t>
      </w:r>
      <w:r>
        <w:rPr>
          <w:rFonts w:ascii="宋体" w:hAnsi="宋体" w:eastAsia="宋体"/>
          <w:color w:val="auto"/>
          <w:szCs w:val="21"/>
        </w:rPr>
        <w:t>；学生互评则反映</w:t>
      </w:r>
      <w:r>
        <w:rPr>
          <w:rFonts w:hint="eastAsia" w:ascii="宋体" w:hAnsi="宋体" w:eastAsia="宋体"/>
          <w:color w:val="auto"/>
          <w:szCs w:val="21"/>
        </w:rPr>
        <w:t>方案创新性不足，但能基本针对客户需求，实用性一般，能提供一定的解决方案</w:t>
      </w:r>
      <w:r>
        <w:rPr>
          <w:rFonts w:ascii="宋体" w:hAnsi="宋体" w:eastAsia="宋体"/>
          <w:color w:val="auto"/>
          <w:szCs w:val="21"/>
        </w:rPr>
        <w:t>。该生已系统掌握方案构建的基础逻辑，能够独立完成结构完整、具备实施条件的框架设计，展现出良好的逻辑思维能力。然而，现有方案创新性不足，存在明显的模板化倾向，在战略前瞻性、架构严谨度及客户需求匹配等方面仍需加强。具体表现在方案设计多沿用常规思路，缺乏对客户痛点的深度挖掘和个性化表达；对潜在风险的预见性不足，应对机制设计不够完善；理论模型与行业实践的结合尚显生硬。建议后续重点提升其需求洞察与价值塑造能力：通过强化案例研究与市场分析训练，增强对客户深层需求的敏感度；同时推动跨领域知识融合，引入数据建模、行为分析等工具方法，助力方案实现从满足基础需求到创造核心价值的跨越，最终形成具有竞争力的差异化设计能力。</w:t>
      </w:r>
    </w:p>
    <w:p w14:paraId="1B2BFB3E">
      <w:pPr>
        <w:ind w:firstLine="420"/>
        <w:rPr>
          <w:rFonts w:hint="eastAsia" w:ascii="宋体" w:hAnsi="宋体" w:eastAsia="宋体"/>
          <w:color w:val="auto"/>
          <w:szCs w:val="21"/>
        </w:rPr>
      </w:pPr>
      <w:r>
        <w:rPr>
          <w:rFonts w:hint="eastAsia" w:ascii="宋体" w:hAnsi="宋体" w:eastAsia="宋体"/>
          <w:color w:val="auto"/>
          <w:szCs w:val="21"/>
        </w:rPr>
        <w:t>工具实操能力</w:t>
      </w:r>
    </w:p>
    <w:p w14:paraId="01523A57">
      <w:pPr>
        <w:ind w:firstLine="420"/>
        <w:jc w:val="center"/>
        <w:rPr>
          <w:rFonts w:hint="eastAsia" w:ascii="宋体" w:hAnsi="宋体" w:eastAsia="宋体"/>
          <w:color w:val="auto"/>
          <w:szCs w:val="21"/>
        </w:rPr>
      </w:pPr>
      <w:r>
        <w:rPr>
          <w:rFonts w:ascii="宋体" w:hAnsi="宋体" w:eastAsia="宋体"/>
          <w:color w:val="auto"/>
          <w:szCs w:val="21"/>
        </w:rPr>
        <w:drawing>
          <wp:inline distT="0" distB="0" distL="0" distR="0">
            <wp:extent cx="4826000" cy="2746375"/>
            <wp:effectExtent l="0" t="0" r="12700" b="15875"/>
            <wp:docPr id="341570431" name="图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14:paraId="45EF569D">
      <w:pPr>
        <w:ind w:firstLine="420"/>
        <w:rPr>
          <w:rFonts w:hint="eastAsia" w:ascii="宋体" w:hAnsi="宋体" w:eastAsia="宋体"/>
          <w:color w:val="auto"/>
          <w:szCs w:val="21"/>
        </w:rPr>
      </w:pPr>
      <w:r>
        <w:rPr>
          <w:rFonts w:ascii="宋体" w:hAnsi="宋体" w:eastAsia="宋体"/>
          <w:color w:val="auto"/>
          <w:szCs w:val="21"/>
        </w:rPr>
        <w:t>在工具实操能力方面，学校评分为</w:t>
      </w:r>
      <w:r>
        <w:rPr>
          <w:rFonts w:hint="eastAsia" w:ascii="宋体" w:hAnsi="宋体" w:eastAsia="宋体"/>
          <w:color w:val="auto"/>
          <w:szCs w:val="21"/>
        </w:rPr>
        <w:t>85</w:t>
      </w:r>
      <w:r>
        <w:rPr>
          <w:rFonts w:ascii="宋体" w:hAnsi="宋体" w:eastAsia="宋体"/>
          <w:color w:val="auto"/>
          <w:szCs w:val="21"/>
        </w:rPr>
        <w:t>分，学生互评则为</w:t>
      </w:r>
      <w:r>
        <w:rPr>
          <w:rFonts w:hint="eastAsia" w:ascii="宋体" w:hAnsi="宋体" w:eastAsia="宋体"/>
          <w:color w:val="auto"/>
          <w:szCs w:val="21"/>
        </w:rPr>
        <w:t>90</w:t>
      </w:r>
      <w:r>
        <w:rPr>
          <w:rFonts w:ascii="宋体" w:hAnsi="宋体" w:eastAsia="宋体"/>
          <w:color w:val="auto"/>
          <w:szCs w:val="21"/>
        </w:rPr>
        <w:t>分。学校评价显示，学生的</w:t>
      </w:r>
      <w:r>
        <w:rPr>
          <w:rFonts w:hint="eastAsia" w:ascii="宋体" w:hAnsi="宋体" w:eastAsia="宋体"/>
          <w:color w:val="auto"/>
          <w:szCs w:val="21"/>
        </w:rPr>
        <w:t>无错误操作次数达到规定次数的85%-94%之间，操作较熟练，偶有小失误但不影响整体效果。学生互评分数较高，说明同学间对于各自工具实操充分认可，也是大家合作顺畅的表现。</w:t>
      </w:r>
    </w:p>
    <w:p w14:paraId="4A88826A">
      <w:pPr>
        <w:ind w:firstLine="420"/>
        <w:rPr>
          <w:rFonts w:hint="eastAsia" w:ascii="宋体" w:hAnsi="宋体" w:eastAsia="宋体"/>
          <w:color w:val="auto"/>
          <w:szCs w:val="21"/>
        </w:rPr>
      </w:pPr>
      <w:r>
        <w:rPr>
          <w:rFonts w:hint="eastAsia" w:ascii="宋体" w:hAnsi="宋体" w:eastAsia="宋体"/>
          <w:color w:val="auto"/>
          <w:szCs w:val="21"/>
        </w:rPr>
        <w:t>调整优化能力</w:t>
      </w:r>
    </w:p>
    <w:p w14:paraId="71FFEC27">
      <w:pPr>
        <w:jc w:val="center"/>
        <w:rPr>
          <w:rFonts w:hint="eastAsia" w:ascii="宋体" w:hAnsi="宋体" w:eastAsia="宋体"/>
          <w:color w:val="auto"/>
          <w:szCs w:val="21"/>
        </w:rPr>
      </w:pPr>
      <w:r>
        <w:rPr>
          <w:rFonts w:ascii="宋体" w:hAnsi="宋体" w:eastAsia="宋体"/>
          <w:color w:val="auto"/>
          <w:szCs w:val="21"/>
        </w:rPr>
        <w:drawing>
          <wp:inline distT="0" distB="0" distL="0" distR="0">
            <wp:extent cx="4826000" cy="2746375"/>
            <wp:effectExtent l="0" t="0" r="12700" b="15875"/>
            <wp:docPr id="553885416" name="图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62EC7457">
      <w:pPr>
        <w:ind w:firstLine="420"/>
        <w:rPr>
          <w:rFonts w:hint="eastAsia" w:ascii="宋体" w:hAnsi="宋体" w:eastAsia="宋体"/>
          <w:color w:val="auto"/>
          <w:szCs w:val="21"/>
        </w:rPr>
      </w:pPr>
      <w:r>
        <w:rPr>
          <w:rFonts w:ascii="宋体" w:hAnsi="宋体" w:eastAsia="宋体"/>
          <w:color w:val="auto"/>
          <w:szCs w:val="21"/>
        </w:rPr>
        <w:t>调整优化能力学校评</w:t>
      </w:r>
      <w:r>
        <w:rPr>
          <w:rFonts w:hint="eastAsia" w:ascii="宋体" w:hAnsi="宋体" w:eastAsia="宋体"/>
          <w:color w:val="auto"/>
          <w:szCs w:val="21"/>
        </w:rPr>
        <w:t>47</w:t>
      </w:r>
      <w:r>
        <w:rPr>
          <w:rFonts w:ascii="宋体" w:hAnsi="宋体" w:eastAsia="宋体"/>
          <w:color w:val="auto"/>
          <w:szCs w:val="21"/>
        </w:rPr>
        <w:t>分、学生自评</w:t>
      </w:r>
      <w:r>
        <w:rPr>
          <w:rFonts w:hint="eastAsia" w:ascii="宋体" w:hAnsi="宋体" w:eastAsia="宋体"/>
          <w:color w:val="auto"/>
          <w:szCs w:val="21"/>
        </w:rPr>
        <w:t>78</w:t>
      </w:r>
      <w:r>
        <w:rPr>
          <w:rFonts w:ascii="宋体" w:hAnsi="宋体" w:eastAsia="宋体"/>
          <w:color w:val="auto"/>
          <w:szCs w:val="21"/>
        </w:rPr>
        <w:t>分、学生互评</w:t>
      </w:r>
      <w:r>
        <w:rPr>
          <w:rFonts w:hint="eastAsia" w:ascii="宋体" w:hAnsi="宋体" w:eastAsia="宋体"/>
          <w:color w:val="auto"/>
          <w:szCs w:val="21"/>
        </w:rPr>
        <w:t>75</w:t>
      </w:r>
      <w:r>
        <w:rPr>
          <w:rFonts w:ascii="宋体" w:hAnsi="宋体" w:eastAsia="宋体"/>
          <w:color w:val="auto"/>
          <w:szCs w:val="21"/>
        </w:rPr>
        <w:t>分。学校认为</w:t>
      </w:r>
      <w:r>
        <w:rPr>
          <w:rFonts w:hint="eastAsia" w:ascii="宋体" w:hAnsi="宋体" w:eastAsia="宋体"/>
          <w:color w:val="auto"/>
          <w:szCs w:val="21"/>
        </w:rPr>
        <w:t>目标达成率低于65%，产品优化次数很少，对项目几乎无改进作用。</w:t>
      </w:r>
      <w:r>
        <w:rPr>
          <w:rFonts w:ascii="宋体" w:hAnsi="宋体" w:eastAsia="宋体"/>
          <w:color w:val="auto"/>
          <w:szCs w:val="21"/>
        </w:rPr>
        <w:t>学生自评</w:t>
      </w:r>
      <w:r>
        <w:rPr>
          <w:rFonts w:hint="eastAsia" w:ascii="宋体" w:hAnsi="宋体" w:eastAsia="宋体"/>
          <w:color w:val="auto"/>
          <w:szCs w:val="21"/>
        </w:rPr>
        <w:t>主动性一般，能完成基本的调整优化任务，效果一般，对项目的推动作用有限；</w:t>
      </w:r>
      <w:r>
        <w:rPr>
          <w:rFonts w:ascii="宋体" w:hAnsi="宋体" w:eastAsia="宋体"/>
          <w:color w:val="auto"/>
          <w:szCs w:val="21"/>
        </w:rPr>
        <w:t>学生互评觉得</w:t>
      </w:r>
      <w:r>
        <w:rPr>
          <w:rFonts w:hint="eastAsia" w:ascii="宋体" w:hAnsi="宋体" w:eastAsia="宋体"/>
          <w:color w:val="auto"/>
          <w:szCs w:val="21"/>
        </w:rPr>
        <w:t>调整优化创新性不足，但方案基本合理，能对项目进行一般性的改进，大家评价尚可。</w:t>
      </w:r>
      <w:r>
        <w:rPr>
          <w:rFonts w:ascii="宋体" w:hAnsi="宋体" w:eastAsia="宋体"/>
          <w:color w:val="auto"/>
          <w:szCs w:val="21"/>
        </w:rPr>
        <w:t>综合来看，该生在调整优化方面展现出全面而突出的能力：不仅执行高效扎实，更能提出创新见解，其提出的差异化解决方案常能有效提升项目质量。尤为可贵的是，他具备良好的团队协作意识，善于整合意见，其工作成果获得了师生的一致赞誉，这充分证明了他在该领域的显著优势。</w:t>
      </w:r>
    </w:p>
    <w:p w14:paraId="44AB6CC6">
      <w:pPr>
        <w:ind w:firstLine="420"/>
        <w:rPr>
          <w:rFonts w:hint="eastAsia" w:ascii="宋体" w:hAnsi="宋体" w:eastAsia="宋体"/>
          <w:color w:val="auto"/>
          <w:szCs w:val="21"/>
        </w:rPr>
      </w:pPr>
      <w:r>
        <w:rPr>
          <w:rFonts w:hint="eastAsia" w:ascii="宋体" w:hAnsi="宋体" w:eastAsia="宋体"/>
          <w:color w:val="auto"/>
          <w:szCs w:val="21"/>
        </w:rPr>
        <w:t>提升建议：</w:t>
      </w:r>
    </w:p>
    <w:p w14:paraId="3D88AE26">
      <w:pPr>
        <w:ind w:firstLine="420"/>
        <w:rPr>
          <w:rFonts w:hint="eastAsia" w:ascii="宋体" w:hAnsi="宋体" w:eastAsia="宋体"/>
          <w:color w:val="auto"/>
          <w:szCs w:val="21"/>
        </w:rPr>
      </w:pPr>
      <w:r>
        <w:rPr>
          <w:rFonts w:hint="eastAsia" w:ascii="宋体" w:hAnsi="宋体" w:eastAsia="宋体"/>
          <w:color w:val="auto"/>
          <w:szCs w:val="21"/>
        </w:rPr>
        <w:t>基于该学生的能力评估，其期货交易能力的提升需采取针对性、系统化的训练路径。首要任务是正视认知偏差，强化实战衔接。该生在数据分析等关键领域自我评价与市场反馈存在显著落差，这提示需建立更客观的自我评估体系。建议引入真实市场数据和行业案例进行对比分析，通过每日撰写交易日志、定期与导师复盘策略执行偏差，清晰识别理论认知与实战需求之间的具体差距，培养贴合市场的决策思维。</w:t>
      </w:r>
    </w:p>
    <w:p w14:paraId="3D86DA63">
      <w:pPr>
        <w:ind w:firstLine="420"/>
        <w:rPr>
          <w:rFonts w:hint="eastAsia" w:ascii="宋体" w:hAnsi="宋体" w:eastAsia="宋体"/>
          <w:color w:val="auto"/>
          <w:szCs w:val="21"/>
        </w:rPr>
      </w:pPr>
      <w:r>
        <w:rPr>
          <w:rFonts w:hint="eastAsia" w:ascii="宋体" w:hAnsi="宋体" w:eastAsia="宋体"/>
          <w:color w:val="auto"/>
          <w:szCs w:val="21"/>
        </w:rPr>
        <w:t>核心突破口在于弥补系统操作与策略优化短板。系统操作能力薄弱已直接影响交易效率，需进行高频次的模块化专项训练，如限时完成复杂订单组合操作、模拟突发行情下的快速响应，直至形成稳定可靠的肌肉记忆。同时，应重点提升策略的动态优化能力：通过回溯测试不同市场周期中的策略表现，学习设置关键指标触发机制，培养根据市场波动灵活调整仓位与止盈止损点的能力，打破机械执行定式。</w:t>
      </w:r>
    </w:p>
    <w:p w14:paraId="7C40873A">
      <w:pPr>
        <w:ind w:firstLine="420"/>
        <w:rPr>
          <w:rFonts w:hint="eastAsia" w:ascii="宋体" w:hAnsi="宋体" w:eastAsia="宋体"/>
          <w:color w:val="auto"/>
          <w:szCs w:val="21"/>
        </w:rPr>
      </w:pPr>
      <w:r>
        <w:rPr>
          <w:rFonts w:hint="eastAsia" w:ascii="宋体" w:hAnsi="宋体" w:eastAsia="宋体"/>
          <w:color w:val="auto"/>
          <w:szCs w:val="21"/>
        </w:rPr>
        <w:t>关键在于构建持续迭代的专业素养。建议该生参与高仿真的模拟交易项目，在真实市场波动中检验风险控制与方案定制能力。重点训练在压力情境下保持决策理性，同时主动寻求与行业从业者的交流反馈，将“单次交易”的视角转变为“系统化交易能力”的长期培育。唯有将实战反馈内化为持续优化的动力，才能逐步弥合认知与实操的断层，实现从掌握交易技能到具备交易智慧的本质跨越。</w:t>
      </w:r>
      <w:bookmarkStart w:id="0" w:name="_GoBack"/>
      <w:bookmarkEnd w:id="0"/>
    </w:p>
    <w:p w14:paraId="5290A784">
      <w:pPr>
        <w:rPr>
          <w:rFonts w:hint="eastAsia" w:ascii="宋体" w:hAnsi="宋体" w:eastAsia="宋体"/>
          <w:color w:val="auto"/>
          <w:szCs w:val="21"/>
        </w:rPr>
      </w:pPr>
    </w:p>
    <w:p w14:paraId="12775F14">
      <w:pPr>
        <w:rPr>
          <w:rFonts w:hint="eastAsia" w:ascii="宋体" w:hAnsi="宋体" w:eastAsia="宋体"/>
          <w:color w:val="auto"/>
          <w:szCs w:val="21"/>
        </w:rPr>
      </w:pPr>
    </w:p>
    <w:p w14:paraId="7B64A15F">
      <w:pPr>
        <w:rPr>
          <w:rFonts w:hint="eastAsia" w:ascii="宋体" w:hAnsi="宋体" w:eastAsia="宋体"/>
          <w:color w:val="auto"/>
          <w:szCs w:val="21"/>
        </w:rPr>
      </w:pPr>
      <w:r>
        <w:rPr>
          <w:rFonts w:hint="eastAsia" w:ascii="宋体" w:hAnsi="宋体" w:eastAsia="宋体"/>
          <w:color w:val="auto"/>
          <w:szCs w:val="21"/>
        </w:rPr>
        <w:t>v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7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A55"/>
    <w:rsid w:val="00004E18"/>
    <w:rsid w:val="003861F7"/>
    <w:rsid w:val="003A7B0F"/>
    <w:rsid w:val="004A24BA"/>
    <w:rsid w:val="005041C4"/>
    <w:rsid w:val="005F19AA"/>
    <w:rsid w:val="006429C8"/>
    <w:rsid w:val="0064531A"/>
    <w:rsid w:val="00810642"/>
    <w:rsid w:val="00816E86"/>
    <w:rsid w:val="008E4A55"/>
    <w:rsid w:val="009574C4"/>
    <w:rsid w:val="0096146D"/>
    <w:rsid w:val="00964AF6"/>
    <w:rsid w:val="009F4123"/>
    <w:rsid w:val="00AF16F7"/>
    <w:rsid w:val="00B605E9"/>
    <w:rsid w:val="00D25EE2"/>
    <w:rsid w:val="00E538E1"/>
    <w:rsid w:val="00EF5E4C"/>
    <w:rsid w:val="00F458C5"/>
    <w:rsid w:val="4025692D"/>
    <w:rsid w:val="46A92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18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0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2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3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4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5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3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35"/>
    <w:unhideWhenUsed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Subtitle"/>
    <w:basedOn w:val="1"/>
    <w:next w:val="1"/>
    <w:link w:val="27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6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7">
    <w:name w:val="标题 1 字符"/>
    <w:basedOn w:val="16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8">
    <w:name w:val="标题 2 字符"/>
    <w:basedOn w:val="16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9">
    <w:name w:val="标题 3 字符"/>
    <w:basedOn w:val="16"/>
    <w:link w:val="4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0">
    <w:name w:val="标题 4 字符"/>
    <w:basedOn w:val="16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1">
    <w:name w:val="标题 5 字符"/>
    <w:basedOn w:val="16"/>
    <w:link w:val="6"/>
    <w:semiHidden/>
    <w:qFormat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2">
    <w:name w:val="标题 6 字符"/>
    <w:basedOn w:val="16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3">
    <w:name w:val="标题 7 字符"/>
    <w:basedOn w:val="16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8 字符"/>
    <w:basedOn w:val="16"/>
    <w:link w:val="9"/>
    <w:semiHidden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9 字符"/>
    <w:basedOn w:val="16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字符"/>
    <w:basedOn w:val="16"/>
    <w:link w:val="14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7">
    <w:name w:val="副标题 字符"/>
    <w:basedOn w:val="16"/>
    <w:link w:val="13"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8">
    <w:name w:val="Quote"/>
    <w:basedOn w:val="1"/>
    <w:next w:val="1"/>
    <w:link w:val="29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9">
    <w:name w:val="引用 字符"/>
    <w:basedOn w:val="16"/>
    <w:link w:val="28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0">
    <w:name w:val="List Paragraph"/>
    <w:basedOn w:val="1"/>
    <w:qFormat/>
    <w:uiPriority w:val="34"/>
    <w:pPr>
      <w:ind w:left="720"/>
      <w:contextualSpacing/>
    </w:pPr>
  </w:style>
  <w:style w:type="character" w:customStyle="1" w:styleId="31">
    <w:name w:val="Intense Emphasis"/>
    <w:basedOn w:val="16"/>
    <w:qFormat/>
    <w:uiPriority w:val="21"/>
    <w:rPr>
      <w:i/>
      <w:iCs/>
      <w:color w:val="104862" w:themeColor="accent1" w:themeShade="BF"/>
    </w:rPr>
  </w:style>
  <w:style w:type="paragraph" w:styleId="32">
    <w:name w:val="Intense Quote"/>
    <w:basedOn w:val="1"/>
    <w:next w:val="1"/>
    <w:link w:val="33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3">
    <w:name w:val="明显引用 字符"/>
    <w:basedOn w:val="16"/>
    <w:link w:val="32"/>
    <w:qFormat/>
    <w:uiPriority w:val="30"/>
    <w:rPr>
      <w:i/>
      <w:iCs/>
      <w:color w:val="104862" w:themeColor="accent1" w:themeShade="BF"/>
    </w:rPr>
  </w:style>
  <w:style w:type="character" w:customStyle="1" w:styleId="34">
    <w:name w:val="Intense Reference"/>
    <w:basedOn w:val="16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5">
    <w:name w:val="页眉 字符"/>
    <w:basedOn w:val="16"/>
    <w:link w:val="12"/>
    <w:uiPriority w:val="99"/>
    <w:rPr>
      <w:sz w:val="18"/>
      <w:szCs w:val="18"/>
    </w:rPr>
  </w:style>
  <w:style w:type="character" w:customStyle="1" w:styleId="36">
    <w:name w:val="页脚 字符"/>
    <w:basedOn w:val="16"/>
    <w:link w:val="11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hart" Target="charts/chart5.xml"/><Relationship Id="rId7" Type="http://schemas.openxmlformats.org/officeDocument/2006/relationships/chart" Target="charts/chart4.xml"/><Relationship Id="rId6" Type="http://schemas.openxmlformats.org/officeDocument/2006/relationships/chart" Target="charts/chart3.xml"/><Relationship Id="rId5" Type="http://schemas.openxmlformats.org/officeDocument/2006/relationships/chart" Target="charts/chart2.xml"/><Relationship Id="rId4" Type="http://schemas.openxmlformats.org/officeDocument/2006/relationships/chart" Target="charts/chart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3" Type="http://schemas.microsoft.com/office/2011/relationships/chartColorStyle" Target="colors4.xml"/><Relationship Id="rId2" Type="http://schemas.microsoft.com/office/2011/relationships/chartStyle" Target="style4.xml"/><Relationship Id="rId1" Type="http://schemas.openxmlformats.org/officeDocument/2006/relationships/oleObject" Target="file:///C:\Users\Eve\Desktop\&#23665;&#19996;&#31649;&#29702;&#23398;&#38498;\&#24037;&#20316;&#25991;&#20214;\&#37329;&#34701;&#31185;&#25216;&#31995;\2025.9.26\&#38543;&#26426;&#20998;&#25968;\&#26446;&#24605;&#27721;.xlsx" TargetMode="External"/></Relationships>
</file>

<file path=word/charts/_rels/chart2.xml.rels><?xml version="1.0" encoding="UTF-8" standalone="yes"?>
<Relationships xmlns="http://schemas.openxmlformats.org/package/2006/relationships"><Relationship Id="rId3" Type="http://schemas.microsoft.com/office/2011/relationships/chartColorStyle" Target="colors5.xml"/><Relationship Id="rId2" Type="http://schemas.microsoft.com/office/2011/relationships/chartStyle" Target="style5.xml"/><Relationship Id="rId1" Type="http://schemas.openxmlformats.org/officeDocument/2006/relationships/oleObject" Target="file:///C:\Users\Eve\Desktop\&#23665;&#19996;&#31649;&#29702;&#23398;&#38498;\&#24037;&#20316;&#25991;&#20214;\&#37329;&#34701;&#31185;&#25216;&#31995;\2025.9.26\&#38543;&#26426;&#20998;&#25968;\&#26446;&#24605;&#27721;.xlsx" TargetMode="External"/></Relationships>
</file>

<file path=word/charts/_rels/chart3.xml.rels><?xml version="1.0" encoding="UTF-8" standalone="yes"?>
<Relationships xmlns="http://schemas.openxmlformats.org/package/2006/relationships"><Relationship Id="rId3" Type="http://schemas.microsoft.com/office/2011/relationships/chartColorStyle" Target="colors1.xml"/><Relationship Id="rId2" Type="http://schemas.microsoft.com/office/2011/relationships/chartStyle" Target="style1.xml"/><Relationship Id="rId1" Type="http://schemas.openxmlformats.org/officeDocument/2006/relationships/oleObject" Target="file:///C:\Users\Eve\Desktop\&#23665;&#19996;&#31649;&#29702;&#23398;&#38498;\&#24037;&#20316;&#25991;&#20214;\&#37329;&#34701;&#31185;&#25216;&#31995;\2025.9.26\&#38543;&#26426;&#20998;&#25968;\&#26446;&#24605;&#27721;.xlsx" TargetMode="External"/></Relationships>
</file>

<file path=word/charts/_rels/chart4.xml.rels><?xml version="1.0" encoding="UTF-8" standalone="yes"?>
<Relationships xmlns="http://schemas.openxmlformats.org/package/2006/relationships"><Relationship Id="rId3" Type="http://schemas.microsoft.com/office/2011/relationships/chartColorStyle" Target="colors3.xml"/><Relationship Id="rId2" Type="http://schemas.microsoft.com/office/2011/relationships/chartStyle" Target="style3.xml"/><Relationship Id="rId1" Type="http://schemas.openxmlformats.org/officeDocument/2006/relationships/oleObject" Target="file:///C:\Users\Eve\Desktop\&#23665;&#19996;&#31649;&#29702;&#23398;&#38498;\&#24037;&#20316;&#25991;&#20214;\&#37329;&#34701;&#31185;&#25216;&#31995;\2025.9.26\&#38543;&#26426;&#20998;&#25968;\&#26446;&#24605;&#27721;.xlsx" TargetMode="External"/></Relationships>
</file>

<file path=word/charts/_rels/chart5.xml.rels><?xml version="1.0" encoding="UTF-8" standalone="yes"?>
<Relationships xmlns="http://schemas.openxmlformats.org/package/2006/relationships"><Relationship Id="rId3" Type="http://schemas.microsoft.com/office/2011/relationships/chartColorStyle" Target="colors2.xml"/><Relationship Id="rId2" Type="http://schemas.microsoft.com/office/2011/relationships/chartStyle" Target="style2.xml"/><Relationship Id="rId1" Type="http://schemas.openxmlformats.org/officeDocument/2006/relationships/oleObject" Target="file:///C:\Users\Eve\Desktop\&#23665;&#19996;&#31649;&#29702;&#23398;&#38498;\&#24037;&#20316;&#25991;&#20214;\&#37329;&#34701;&#31185;&#25216;&#31995;\2025.9.26\&#38543;&#26426;&#20998;&#25968;\&#26446;&#24605;&#27721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0" vertOverflow="ellipsis" vert="horz" wrap="square" anchor="ctr" anchorCtr="1"/>
          <a:lstStyle/>
          <a:p>
            <a:pPr defTabSz="914400">
              <a:defRPr lang="zh-CN" sz="1400" b="1" i="0" u="none" strike="noStrike" kern="1200" baseline="0">
                <a:solidFill>
                  <a:schemeClr val="tx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zh-CN" altLang="en-US"/>
              <a:t>能力评分统计</a:t>
            </a:r>
            <a:endParaRPr lang="zh-CN" altLang="en-US"/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[李思汉.xlsx]Sheet1!$B$2</c:f>
              <c:strCache>
                <c:ptCount val="1"/>
                <c:pt idx="0">
                  <c:v>学校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zh-CN"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[李思汉.xlsx]Sheet1!$A$3:$A$8</c:f>
              <c:strCache>
                <c:ptCount val="6"/>
                <c:pt idx="0">
                  <c:v>系统操作</c:v>
                </c:pt>
                <c:pt idx="1">
                  <c:v>数据分析</c:v>
                </c:pt>
                <c:pt idx="2">
                  <c:v>风险控制</c:v>
                </c:pt>
                <c:pt idx="3">
                  <c:v>方案定制</c:v>
                </c:pt>
                <c:pt idx="4">
                  <c:v>工具实操</c:v>
                </c:pt>
                <c:pt idx="5">
                  <c:v>调整优化</c:v>
                </c:pt>
              </c:strCache>
            </c:strRef>
          </c:cat>
          <c:val>
            <c:numRef>
              <c:f>[李思汉.xlsx]Sheet1!$B$3:$B$8</c:f>
              <c:numCache>
                <c:formatCode>General</c:formatCode>
                <c:ptCount val="6"/>
                <c:pt idx="0">
                  <c:v>60</c:v>
                </c:pt>
                <c:pt idx="1">
                  <c:v>84</c:v>
                </c:pt>
                <c:pt idx="2">
                  <c:v>84</c:v>
                </c:pt>
                <c:pt idx="3">
                  <c:v>47</c:v>
                </c:pt>
                <c:pt idx="4">
                  <c:v>85</c:v>
                </c:pt>
                <c:pt idx="5">
                  <c:v>47</c:v>
                </c:pt>
              </c:numCache>
            </c:numRef>
          </c:val>
        </c:ser>
        <c:ser>
          <c:idx val="1"/>
          <c:order val="1"/>
          <c:tx>
            <c:strRef>
              <c:f>[李思汉.xlsx]Sheet1!$C$2</c:f>
              <c:strCache>
                <c:ptCount val="1"/>
                <c:pt idx="0">
                  <c:v>企业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zh-CN"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[李思汉.xlsx]Sheet1!$A$3:$A$8</c:f>
              <c:strCache>
                <c:ptCount val="6"/>
                <c:pt idx="0">
                  <c:v>系统操作</c:v>
                </c:pt>
                <c:pt idx="1">
                  <c:v>数据分析</c:v>
                </c:pt>
                <c:pt idx="2">
                  <c:v>风险控制</c:v>
                </c:pt>
                <c:pt idx="3">
                  <c:v>方案定制</c:v>
                </c:pt>
                <c:pt idx="4">
                  <c:v>工具实操</c:v>
                </c:pt>
                <c:pt idx="5">
                  <c:v>调整优化</c:v>
                </c:pt>
              </c:strCache>
            </c:strRef>
          </c:cat>
          <c:val>
            <c:numRef>
              <c:f>[李思汉.xlsx]Sheet1!$C$3:$C$8</c:f>
              <c:numCache>
                <c:formatCode>General</c:formatCode>
                <c:ptCount val="6"/>
                <c:pt idx="1">
                  <c:v>47</c:v>
                </c:pt>
                <c:pt idx="3">
                  <c:v>82</c:v>
                </c:pt>
              </c:numCache>
            </c:numRef>
          </c:val>
        </c:ser>
        <c:ser>
          <c:idx val="2"/>
          <c:order val="2"/>
          <c:tx>
            <c:strRef>
              <c:f>[李思汉.xlsx]Sheet1!$D$2</c:f>
              <c:strCache>
                <c:ptCount val="1"/>
                <c:pt idx="0">
                  <c:v>学生自评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zh-CN"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[李思汉.xlsx]Sheet1!$A$3:$A$8</c:f>
              <c:strCache>
                <c:ptCount val="6"/>
                <c:pt idx="0">
                  <c:v>系统操作</c:v>
                </c:pt>
                <c:pt idx="1">
                  <c:v>数据分析</c:v>
                </c:pt>
                <c:pt idx="2">
                  <c:v>风险控制</c:v>
                </c:pt>
                <c:pt idx="3">
                  <c:v>方案定制</c:v>
                </c:pt>
                <c:pt idx="4">
                  <c:v>工具实操</c:v>
                </c:pt>
                <c:pt idx="5">
                  <c:v>调整优化</c:v>
                </c:pt>
              </c:strCache>
            </c:strRef>
          </c:cat>
          <c:val>
            <c:numRef>
              <c:f>[李思汉.xlsx]Sheet1!$D$3:$D$8</c:f>
              <c:numCache>
                <c:formatCode>General</c:formatCode>
                <c:ptCount val="6"/>
                <c:pt idx="5">
                  <c:v>78</c:v>
                </c:pt>
              </c:numCache>
            </c:numRef>
          </c:val>
        </c:ser>
        <c:ser>
          <c:idx val="3"/>
          <c:order val="3"/>
          <c:tx>
            <c:strRef>
              <c:f>[李思汉.xlsx]Sheet1!$E$2</c:f>
              <c:strCache>
                <c:ptCount val="1"/>
                <c:pt idx="0">
                  <c:v>学生互评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zh-CN"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[李思汉.xlsx]Sheet1!$A$3:$A$8</c:f>
              <c:strCache>
                <c:ptCount val="6"/>
                <c:pt idx="0">
                  <c:v>系统操作</c:v>
                </c:pt>
                <c:pt idx="1">
                  <c:v>数据分析</c:v>
                </c:pt>
                <c:pt idx="2">
                  <c:v>风险控制</c:v>
                </c:pt>
                <c:pt idx="3">
                  <c:v>方案定制</c:v>
                </c:pt>
                <c:pt idx="4">
                  <c:v>工具实操</c:v>
                </c:pt>
                <c:pt idx="5">
                  <c:v>调整优化</c:v>
                </c:pt>
              </c:strCache>
            </c:strRef>
          </c:cat>
          <c:val>
            <c:numRef>
              <c:f>[李思汉.xlsx]Sheet1!$E$3:$E$8</c:f>
              <c:numCache>
                <c:formatCode>General</c:formatCode>
                <c:ptCount val="6"/>
                <c:pt idx="3">
                  <c:v>70</c:v>
                </c:pt>
                <c:pt idx="4">
                  <c:v>90</c:v>
                </c:pt>
                <c:pt idx="5">
                  <c:v>75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246"/>
        <c:overlap val="-28"/>
        <c:axId val="646898206"/>
        <c:axId val="424215302"/>
      </c:barChart>
      <c:catAx>
        <c:axId val="646898206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424215302"/>
        <c:crosses val="autoZero"/>
        <c:auto val="1"/>
        <c:lblAlgn val="ctr"/>
        <c:lblOffset val="100"/>
        <c:noMultiLvlLbl val="0"/>
      </c:catAx>
      <c:valAx>
        <c:axId val="42421530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02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64689820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d151d713-7c22-4d3a-9b67-611664bf1c26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1400" b="1" i="0" u="none" strike="noStrike" kern="1200" baseline="0">
              <a:solidFill>
                <a:schemeClr val="tx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[李思汉.xlsx]Sheet1!$A$4</c:f>
              <c:strCache>
                <c:ptCount val="1"/>
                <c:pt idx="0">
                  <c:v>数据分析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strRef>
              <c:f>[李思汉.xlsx]Sheet1!$B$2:$C$2</c:f>
              <c:strCache>
                <c:ptCount val="2"/>
                <c:pt idx="0">
                  <c:v>学校</c:v>
                </c:pt>
                <c:pt idx="1">
                  <c:v>企业</c:v>
                </c:pt>
              </c:strCache>
            </c:strRef>
          </c:cat>
          <c:val>
            <c:numRef>
              <c:f>[李思汉.xlsx]Sheet1!$B$4:$C$4</c:f>
              <c:numCache>
                <c:formatCode>General</c:formatCode>
                <c:ptCount val="2"/>
                <c:pt idx="0">
                  <c:v>84</c:v>
                </c:pt>
                <c:pt idx="1">
                  <c:v>47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46"/>
        <c:overlap val="-28"/>
        <c:axId val="548678723"/>
        <c:axId val="683879391"/>
      </c:barChart>
      <c:catAx>
        <c:axId val="548678723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683879391"/>
        <c:crosses val="autoZero"/>
        <c:auto val="1"/>
        <c:lblAlgn val="ctr"/>
        <c:lblOffset val="100"/>
        <c:noMultiLvlLbl val="0"/>
      </c:catAx>
      <c:valAx>
        <c:axId val="68387939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02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548678723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9f5dee02-1fb8-4908-bf4f-68aa7b8d8b56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1400" b="1" i="0" u="none" strike="noStrike" kern="1200" baseline="0">
              <a:solidFill>
                <a:schemeClr val="tx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[李思汉.xlsx]Sheet1!$A$6</c:f>
              <c:strCache>
                <c:ptCount val="1"/>
                <c:pt idx="0">
                  <c:v>方案定制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strRef>
              <c:f>[李思汉.xlsx]Sheet1!$B$2:$E$2</c:f>
              <c:strCache>
                <c:ptCount val="3"/>
                <c:pt idx="0">
                  <c:v>学校</c:v>
                </c:pt>
                <c:pt idx="1">
                  <c:v>企业</c:v>
                </c:pt>
                <c:pt idx="2">
                  <c:v>学生互评</c:v>
                </c:pt>
              </c:strCache>
            </c:strRef>
          </c:cat>
          <c:val>
            <c:numRef>
              <c:f>Sheet1!$B$6:$E$6</c:f>
              <c:numCache>
                <c:formatCode>General</c:formatCode>
                <c:ptCount val="3"/>
                <c:pt idx="0">
                  <c:v>47</c:v>
                </c:pt>
                <c:pt idx="1">
                  <c:v>82</c:v>
                </c:pt>
                <c:pt idx="2">
                  <c:v>70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46"/>
        <c:overlap val="-28"/>
        <c:axId val="448524823"/>
        <c:axId val="236186224"/>
      </c:barChart>
      <c:catAx>
        <c:axId val="448524823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236186224"/>
        <c:crosses val="autoZero"/>
        <c:auto val="1"/>
        <c:lblAlgn val="ctr"/>
        <c:lblOffset val="100"/>
        <c:noMultiLvlLbl val="0"/>
      </c:catAx>
      <c:valAx>
        <c:axId val="23618622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02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448524823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16490d7d-2ba8-4c32-bea4-04397fd8560c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1400" b="1" i="0" u="none" strike="noStrike" kern="1200" baseline="0">
              <a:solidFill>
                <a:schemeClr val="tx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[李思汉.xlsx]Sheet1!$A$7</c:f>
              <c:strCache>
                <c:ptCount val="1"/>
                <c:pt idx="0">
                  <c:v>工具实操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strRef>
              <c:f>[李思汉.xlsx]Sheet1!$B$2:$E$2</c:f>
              <c:strCache>
                <c:ptCount val="2"/>
                <c:pt idx="0">
                  <c:v>学校</c:v>
                </c:pt>
                <c:pt idx="1">
                  <c:v>学生互评</c:v>
                </c:pt>
              </c:strCache>
            </c:strRef>
          </c:cat>
          <c:val>
            <c:numRef>
              <c:f>Sheet1!$B$7:$E$7</c:f>
              <c:numCache>
                <c:formatCode>General</c:formatCode>
                <c:ptCount val="2"/>
                <c:pt idx="0">
                  <c:v>85</c:v>
                </c:pt>
                <c:pt idx="1">
                  <c:v>90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46"/>
        <c:overlap val="-28"/>
        <c:axId val="879079183"/>
        <c:axId val="807902137"/>
      </c:barChart>
      <c:catAx>
        <c:axId val="879079183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807902137"/>
        <c:crosses val="autoZero"/>
        <c:auto val="1"/>
        <c:lblAlgn val="ctr"/>
        <c:lblOffset val="100"/>
        <c:noMultiLvlLbl val="0"/>
      </c:catAx>
      <c:valAx>
        <c:axId val="80790213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02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879079183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2facedb9-a92f-4276-b6be-71f6240c8b64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1400" b="1" i="0" u="none" strike="noStrike" kern="1200" baseline="0">
              <a:solidFill>
                <a:schemeClr val="tx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[李思汉.xlsx]Sheet1!$A$8</c:f>
              <c:strCache>
                <c:ptCount val="1"/>
                <c:pt idx="0">
                  <c:v>调整优化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elete val="1"/>
          </c:dLbls>
          <c:cat>
            <c:strRef>
              <c:f>[李思汉.xlsx]Sheet1!$B$2:$E$2</c:f>
              <c:strCache>
                <c:ptCount val="3"/>
                <c:pt idx="0">
                  <c:v>学校</c:v>
                </c:pt>
                <c:pt idx="1">
                  <c:v>学生自评</c:v>
                </c:pt>
                <c:pt idx="2">
                  <c:v>学生互评</c:v>
                </c:pt>
              </c:strCache>
            </c:strRef>
          </c:cat>
          <c:val>
            <c:numRef>
              <c:f>Sheet1!$B$8:$E$8</c:f>
              <c:numCache>
                <c:formatCode>General</c:formatCode>
                <c:ptCount val="3"/>
                <c:pt idx="0">
                  <c:v>47</c:v>
                </c:pt>
                <c:pt idx="1">
                  <c:v>78</c:v>
                </c:pt>
                <c:pt idx="2">
                  <c:v>75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46"/>
        <c:overlap val="-28"/>
        <c:axId val="383998729"/>
        <c:axId val="738178785"/>
      </c:barChart>
      <c:catAx>
        <c:axId val="383998729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738178785"/>
        <c:crosses val="autoZero"/>
        <c:auto val="1"/>
        <c:lblAlgn val="ctr"/>
        <c:lblOffset val="100"/>
        <c:noMultiLvlLbl val="0"/>
      </c:catAx>
      <c:valAx>
        <c:axId val="738178785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02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383998729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25e89fb1-8503-4fc2-ad8a-8153fad771ef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100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0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0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1">
      <cs:styleClr val="auto"/>
    </cs:fillRef>
    <cs:effectRef idx="0"/>
    <cs:fontRef idx="minor">
      <a:schemeClr val="dk1"/>
    </cs:fontRef>
    <cs:spPr>
      <a:ln>
        <a:noFill/>
      </a:ln>
      <a:effectLst/>
    </cs:spPr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02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75000"/>
        <a:lumOff val="25000"/>
      </a:schemeClr>
    </cs:fontRef>
    <cs:defRPr sz="1400" b="1" kern="120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100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0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0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1">
      <cs:styleClr val="auto"/>
    </cs:fillRef>
    <cs:effectRef idx="0"/>
    <cs:fontRef idx="minor">
      <a:schemeClr val="dk1"/>
    </cs:fontRef>
    <cs:spPr>
      <a:ln>
        <a:noFill/>
      </a:ln>
      <a:effectLst/>
    </cs:spPr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02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75000"/>
        <a:lumOff val="25000"/>
      </a:schemeClr>
    </cs:fontRef>
    <cs:defRPr sz="1400" b="1" kern="120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100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0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0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1">
      <cs:styleClr val="auto"/>
    </cs:fillRef>
    <cs:effectRef idx="0"/>
    <cs:fontRef idx="minor">
      <a:schemeClr val="dk1"/>
    </cs:fontRef>
    <cs:spPr>
      <a:ln>
        <a:noFill/>
      </a:ln>
      <a:effectLst/>
    </cs:spPr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02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75000"/>
        <a:lumOff val="25000"/>
      </a:schemeClr>
    </cs:fontRef>
    <cs:defRPr sz="1400" b="1" kern="120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100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0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0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1">
      <cs:styleClr val="auto"/>
    </cs:fillRef>
    <cs:effectRef idx="0"/>
    <cs:fontRef idx="minor">
      <a:schemeClr val="dk1"/>
    </cs:fontRef>
    <cs:spPr>
      <a:ln>
        <a:noFill/>
      </a:ln>
      <a:effectLst/>
    </cs:spPr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02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75000"/>
        <a:lumOff val="25000"/>
      </a:schemeClr>
    </cs:fontRef>
    <cs:defRPr sz="1400" b="1" kern="120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100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10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10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>
      <cs:styleClr val="auto"/>
    </cs:lnRef>
    <cs:fillRef idx="1">
      <cs:styleClr val="auto"/>
    </cs:fillRef>
    <cs:effectRef idx="0"/>
    <cs:fontRef idx="minor">
      <a:schemeClr val="dk1"/>
    </cs:fontRef>
    <cs:spPr>
      <a:ln>
        <a:noFill/>
      </a:ln>
      <a:effectLst/>
    </cs:spPr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lt1">
            <a:lumMod val="902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75000"/>
        <a:lumOff val="25000"/>
      </a:schemeClr>
    </cs:fontRef>
    <cs:defRPr sz="1400" b="1" kern="120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2633</Words>
  <Characters>2691</Characters>
  <Lines>74</Lines>
  <Paragraphs>53</Paragraphs>
  <TotalTime>86</TotalTime>
  <ScaleCrop>false</ScaleCrop>
  <LinksUpToDate>false</LinksUpToDate>
  <CharactersWithSpaces>2691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2025-09-27T09:34:00Z</dcterms:created>
  <dc:creator>庆敏 侯</dc:creator>
  <cp:lastModifiedBy>Sternstunde</cp:lastModifiedBy>
  <dcterms:modified xsi:type="dcterms:W3CDTF">2025-09-29T12:28:37Z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eyJoZGlkIjoiZWQyMWE4Zjg0MmRlODNhZGU0MGE5ODQ2MWVhMzIzM2EiLCJ1c2VySWQiOiI0Mjk5MDk4NDUifQ==</vt:lpwstr>
  </property>
  <property fmtid="{D5CDD505-2E9C-101B-9397-08002B2CF9AE}" pid="3" name="KSOProductBuildVer">
    <vt:lpwstr>2052-12.1.0.23125</vt:lpwstr>
  </property>
  <property fmtid="{D5CDD505-2E9C-101B-9397-08002B2CF9AE}" pid="4" name="ICV">
    <vt:lpwstr>42E835A458B84514AC6D4AFFBA2AB6AA_13</vt:lpwstr>
  </property>
</Properties>
</file>