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C994A">
      <w:pPr>
        <w:jc w:val="cente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期货模拟交易大赛实战--能力分析报告</w:t>
      </w:r>
    </w:p>
    <w:p w14:paraId="2A83479A">
      <w:pPr>
        <w:rPr>
          <w:rFonts w:hint="eastAsia" w:ascii="宋体" w:hAnsi="宋体" w:eastAsia="宋体"/>
          <w:color w:val="auto"/>
          <w:szCs w:val="21"/>
          <w:shd w:val="clear" w:color="auto" w:fill="auto"/>
          <w:lang w:eastAsia="zh-CN"/>
        </w:rPr>
      </w:pPr>
      <w:r>
        <w:rPr>
          <w:rFonts w:hint="eastAsia" w:ascii="宋体" w:hAnsi="宋体" w:eastAsia="宋体"/>
          <w:color w:val="auto"/>
          <w:szCs w:val="21"/>
          <w:shd w:val="clear" w:color="auto" w:fill="auto"/>
        </w:rPr>
        <w:t>学号：233061301109</w:t>
      </w:r>
    </w:p>
    <w:p w14:paraId="095EB591">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姓名：李敏</w:t>
      </w:r>
    </w:p>
    <w:p w14:paraId="4B4B803B">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总分：79（详见项目评分标准）</w:t>
      </w:r>
    </w:p>
    <w:p w14:paraId="61A8003F">
      <w:pPr>
        <w:jc w:val="center"/>
        <w:rPr>
          <w:rFonts w:hint="eastAsia" w:ascii="宋体" w:hAnsi="宋体" w:eastAsia="宋体"/>
          <w:color w:val="auto"/>
          <w:szCs w:val="21"/>
          <w:shd w:val="clear" w:color="auto" w:fill="auto"/>
        </w:rPr>
      </w:pPr>
      <w:r>
        <w:rPr>
          <w:rFonts w:ascii="宋体" w:hAnsi="宋体" w:eastAsia="宋体"/>
          <w:color w:val="auto"/>
          <w:szCs w:val="21"/>
          <w:shd w:val="clear" w:color="auto" w:fill="auto"/>
        </w:rPr>
        <w:drawing>
          <wp:inline distT="0" distB="0" distL="0" distR="0">
            <wp:extent cx="4827270" cy="2746375"/>
            <wp:effectExtent l="0" t="0" r="11430" b="15875"/>
            <wp:docPr id="131643269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75D516DC">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从整体来看：</w:t>
      </w:r>
    </w:p>
    <w:p w14:paraId="7D9D5F70">
      <w:pPr>
        <w:rPr>
          <w:rFonts w:hint="eastAsia" w:ascii="宋体" w:hAnsi="宋体" w:eastAsia="宋体"/>
          <w:color w:val="auto"/>
          <w:szCs w:val="21"/>
          <w:shd w:val="clear" w:color="auto" w:fill="auto"/>
        </w:rPr>
      </w:pPr>
      <w:r>
        <w:rPr>
          <w:rFonts w:ascii="宋体" w:hAnsi="宋体" w:eastAsia="宋体"/>
          <w:color w:val="auto"/>
          <w:szCs w:val="21"/>
          <w:shd w:val="clear" w:color="auto" w:fill="auto"/>
        </w:rPr>
        <w:t>优势</w:t>
      </w:r>
    </w:p>
    <w:p w14:paraId="1963369D">
      <w:pPr>
        <w:rPr>
          <w:rFonts w:hint="eastAsia" w:ascii="宋体" w:hAnsi="宋体" w:eastAsia="宋体"/>
          <w:color w:val="auto"/>
          <w:szCs w:val="21"/>
          <w:shd w:val="clear" w:color="auto" w:fill="auto"/>
        </w:rPr>
      </w:pPr>
      <w:r>
        <w:rPr>
          <w:rFonts w:ascii="宋体" w:hAnsi="宋体" w:eastAsia="宋体"/>
          <w:color w:val="auto"/>
          <w:szCs w:val="21"/>
          <w:shd w:val="clear" w:color="auto" w:fill="auto"/>
        </w:rPr>
        <w:t>企业对学生</w:t>
      </w:r>
      <w:r>
        <w:rPr>
          <w:rFonts w:hint="eastAsia" w:ascii="宋体" w:hAnsi="宋体" w:eastAsia="宋体"/>
          <w:color w:val="auto"/>
          <w:szCs w:val="21"/>
          <w:shd w:val="clear" w:color="auto" w:fill="auto"/>
        </w:rPr>
        <w:t>方案定制</w:t>
      </w:r>
      <w:r>
        <w:rPr>
          <w:rFonts w:ascii="宋体" w:hAnsi="宋体" w:eastAsia="宋体"/>
          <w:color w:val="auto"/>
          <w:szCs w:val="21"/>
          <w:shd w:val="clear" w:color="auto" w:fill="auto"/>
        </w:rPr>
        <w:t>能力给予了较高评价，这充分彰显出该学生在</w:t>
      </w:r>
      <w:r>
        <w:rPr>
          <w:rFonts w:hint="eastAsia" w:ascii="宋体" w:hAnsi="宋体" w:eastAsia="宋体"/>
          <w:color w:val="auto"/>
          <w:szCs w:val="21"/>
          <w:shd w:val="clear" w:color="auto" w:fill="auto"/>
        </w:rPr>
        <w:t>制定方案</w:t>
      </w:r>
      <w:r>
        <w:rPr>
          <w:rFonts w:ascii="宋体" w:hAnsi="宋体" w:eastAsia="宋体"/>
          <w:color w:val="auto"/>
          <w:szCs w:val="21"/>
          <w:shd w:val="clear" w:color="auto" w:fill="auto"/>
        </w:rPr>
        <w:t>指导实际业务方面表现突出，具备为企业决策提供有效支持的能力。此外，学生各项能力评分大多在75分以上，</w:t>
      </w:r>
      <w:r>
        <w:rPr>
          <w:rFonts w:hint="eastAsia" w:ascii="宋体" w:hAnsi="宋体" w:eastAsia="宋体"/>
          <w:color w:val="auto"/>
          <w:szCs w:val="21"/>
          <w:shd w:val="clear" w:color="auto" w:fill="auto"/>
        </w:rPr>
        <w:t>总分成绩为79分，</w:t>
      </w:r>
      <w:r>
        <w:rPr>
          <w:rFonts w:ascii="宋体" w:hAnsi="宋体" w:eastAsia="宋体"/>
          <w:color w:val="auto"/>
          <w:szCs w:val="21"/>
          <w:shd w:val="clear" w:color="auto" w:fill="auto"/>
        </w:rPr>
        <w:t>这一优异成绩有力地证明了其在各能力板块均打下了坚实基础，对期货模拟交易大赛涵盖的各项任务有着较为深刻的理解与精准的把握。</w:t>
      </w:r>
    </w:p>
    <w:p w14:paraId="0E32E04F">
      <w:pPr>
        <w:rPr>
          <w:rFonts w:hint="eastAsia" w:ascii="宋体" w:hAnsi="宋体" w:eastAsia="宋体"/>
          <w:color w:val="auto"/>
          <w:szCs w:val="21"/>
          <w:shd w:val="clear" w:color="auto" w:fill="auto"/>
        </w:rPr>
      </w:pPr>
      <w:r>
        <w:rPr>
          <w:rFonts w:ascii="宋体" w:hAnsi="宋体" w:eastAsia="宋体"/>
          <w:color w:val="auto"/>
          <w:szCs w:val="21"/>
          <w:shd w:val="clear" w:color="auto" w:fill="auto"/>
        </w:rPr>
        <w:t>短板</w:t>
      </w:r>
    </w:p>
    <w:p w14:paraId="50D3DDD0">
      <w:pPr>
        <w:rPr>
          <w:rFonts w:hint="eastAsia" w:ascii="宋体" w:hAnsi="宋体" w:eastAsia="宋体"/>
          <w:color w:val="auto"/>
          <w:szCs w:val="21"/>
          <w:shd w:val="clear" w:color="auto" w:fill="auto"/>
        </w:rPr>
      </w:pPr>
      <w:r>
        <w:rPr>
          <w:rFonts w:ascii="宋体" w:hAnsi="宋体" w:eastAsia="宋体"/>
          <w:color w:val="auto"/>
          <w:szCs w:val="21"/>
          <w:shd w:val="clear" w:color="auto" w:fill="auto"/>
        </w:rPr>
        <w:t>学生的</w:t>
      </w:r>
      <w:r>
        <w:rPr>
          <w:rFonts w:hint="eastAsia" w:ascii="宋体" w:hAnsi="宋体" w:eastAsia="宋体"/>
          <w:color w:val="auto"/>
          <w:szCs w:val="21"/>
          <w:shd w:val="clear" w:color="auto" w:fill="auto"/>
        </w:rPr>
        <w:t>工具实操</w:t>
      </w:r>
      <w:r>
        <w:rPr>
          <w:rFonts w:ascii="宋体" w:hAnsi="宋体" w:eastAsia="宋体"/>
          <w:color w:val="auto"/>
          <w:szCs w:val="21"/>
          <w:shd w:val="clear" w:color="auto" w:fill="auto"/>
        </w:rPr>
        <w:t>能力相对薄弱，在</w:t>
      </w:r>
      <w:r>
        <w:rPr>
          <w:rFonts w:hint="eastAsia" w:ascii="宋体" w:hAnsi="宋体" w:eastAsia="宋体"/>
          <w:color w:val="auto"/>
          <w:szCs w:val="21"/>
          <w:shd w:val="clear" w:color="auto" w:fill="auto"/>
        </w:rPr>
        <w:t>系统操作</w:t>
      </w:r>
      <w:r>
        <w:rPr>
          <w:rFonts w:ascii="宋体" w:hAnsi="宋体" w:eastAsia="宋体"/>
          <w:color w:val="auto"/>
          <w:szCs w:val="21"/>
          <w:shd w:val="clear" w:color="auto" w:fill="auto"/>
        </w:rPr>
        <w:t>上差强人意。要知道，在期货交易的风云变幻中，这无疑是极为关键且致命的短板。同时，在各项能力的创新性、深度和熟练度方面，学生也暴露出不同程度的欠缺。比如，</w:t>
      </w:r>
      <w:r>
        <w:rPr>
          <w:rFonts w:hint="eastAsia" w:ascii="宋体" w:hAnsi="宋体" w:eastAsia="宋体"/>
          <w:color w:val="auto"/>
          <w:szCs w:val="21"/>
          <w:shd w:val="clear" w:color="auto" w:fill="auto"/>
        </w:rPr>
        <w:t>调整优化</w:t>
      </w:r>
      <w:r>
        <w:rPr>
          <w:rFonts w:ascii="宋体" w:hAnsi="宋体" w:eastAsia="宋体"/>
          <w:color w:val="auto"/>
          <w:szCs w:val="21"/>
          <w:shd w:val="clear" w:color="auto" w:fill="auto"/>
        </w:rPr>
        <w:t>不够娴熟流畅，数据分析未能触及更深层次，方案定制缺乏新颖独特的创新思维等。</w:t>
      </w:r>
    </w:p>
    <w:p w14:paraId="60CAD3B5">
      <w:pPr>
        <w:rPr>
          <w:rFonts w:hint="eastAsia" w:ascii="宋体" w:hAnsi="宋体" w:eastAsia="宋体"/>
          <w:color w:val="auto"/>
          <w:szCs w:val="21"/>
          <w:shd w:val="clear" w:color="auto" w:fill="auto"/>
        </w:rPr>
      </w:pPr>
    </w:p>
    <w:p w14:paraId="6028C049">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具体来看：</w:t>
      </w:r>
    </w:p>
    <w:p w14:paraId="1665A230">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系统操作能力</w:t>
      </w:r>
    </w:p>
    <w:p w14:paraId="21808766">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在系统操作能力上，学校给出了78分的评价。这意味着学生大体能够在规定时间内，顺利完成一系列金融业务操作任务。不过，操作的正确率处于75%-84%这个区间，操作进程中偶尔会出现一些小卡顿，寻找功能模块时也需要花费一定时间。</w:t>
      </w:r>
    </w:p>
    <w:p w14:paraId="5AD70AE7">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由此可见，学生对期货模拟交易平台的基本操作已经有了一定程度的掌握。然而，在操作熟练度以及对系统功能的运用方面，仍存在较大的提升空间。具体来说，面对复杂金融业务操作任务时，学生的准确率还有待进一步提高；当遇到突发小问题时，其应对能力也亟需加强。</w:t>
      </w:r>
    </w:p>
    <w:p w14:paraId="35B36552">
      <w:pPr>
        <w:rPr>
          <w:rFonts w:hint="eastAsia" w:ascii="宋体" w:hAnsi="宋体" w:eastAsia="宋体"/>
          <w:color w:val="auto"/>
          <w:szCs w:val="21"/>
          <w:shd w:val="clear" w:color="auto" w:fill="auto"/>
        </w:rPr>
      </w:pPr>
    </w:p>
    <w:p w14:paraId="64CFA456">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数据分析能力</w:t>
      </w:r>
    </w:p>
    <w:p w14:paraId="0CE06FE1">
      <w:pPr>
        <w:jc w:val="center"/>
        <w:rPr>
          <w:rFonts w:hint="eastAsia" w:ascii="宋体" w:hAnsi="宋体" w:eastAsia="宋体"/>
          <w:color w:val="auto"/>
          <w:szCs w:val="21"/>
          <w:shd w:val="clear" w:color="auto" w:fill="auto"/>
        </w:rPr>
      </w:pPr>
      <w:r>
        <w:rPr>
          <w:rFonts w:ascii="宋体" w:hAnsi="宋体" w:eastAsia="宋体"/>
          <w:color w:val="auto"/>
          <w:szCs w:val="21"/>
          <w:shd w:val="clear" w:color="auto" w:fill="auto"/>
        </w:rPr>
        <w:drawing>
          <wp:inline distT="0" distB="0" distL="0" distR="0">
            <wp:extent cx="4827270" cy="2746375"/>
            <wp:effectExtent l="0" t="0" r="11430" b="15875"/>
            <wp:docPr id="158637101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087B86E">
      <w:pPr>
        <w:ind w:firstLine="420"/>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数据分析能力学校给出80分，企业给出77分。</w:t>
      </w:r>
      <w:r>
        <w:rPr>
          <w:rFonts w:ascii="宋体" w:hAnsi="宋体" w:eastAsia="宋体"/>
          <w:color w:val="auto"/>
          <w:szCs w:val="21"/>
          <w:shd w:val="clear" w:color="auto" w:fill="auto"/>
        </w:rPr>
        <w:t>学校方面认为，学生所提交的报告在分析方法上基本合理，数据分析较为常规，结论总体可信，能够反映数据的基本特征；而企业方则指出，该数据分析结果对实际业务具有较好的指导意义，能够为部分决策提供支持。这表明学生已具备一定的数据分析能力，能够运用恰当的方法处理数据并得出具有一定实用价值的结论。不过，在分析的深度与创新性方面仍有提升空间，未来可进一步加强探索，以更精准地满足不同对象的需求。</w:t>
      </w:r>
    </w:p>
    <w:p w14:paraId="70475A4D">
      <w:pPr>
        <w:ind w:firstLine="420"/>
        <w:rPr>
          <w:rFonts w:hint="eastAsia" w:ascii="宋体" w:hAnsi="宋体" w:eastAsia="宋体"/>
          <w:color w:val="auto"/>
          <w:szCs w:val="21"/>
          <w:shd w:val="clear" w:color="auto" w:fill="auto"/>
        </w:rPr>
      </w:pPr>
    </w:p>
    <w:p w14:paraId="71BAFC58">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风险控制能力</w:t>
      </w:r>
    </w:p>
    <w:p w14:paraId="2D6FB881">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风险控制能力学校评分为</w:t>
      </w:r>
      <w:r>
        <w:rPr>
          <w:rFonts w:hint="eastAsia" w:ascii="宋体" w:hAnsi="宋体" w:eastAsia="宋体"/>
          <w:color w:val="auto"/>
          <w:szCs w:val="21"/>
          <w:shd w:val="clear" w:color="auto" w:fill="auto"/>
        </w:rPr>
        <w:t>82</w:t>
      </w:r>
      <w:r>
        <w:rPr>
          <w:rFonts w:ascii="宋体" w:hAnsi="宋体" w:eastAsia="宋体"/>
          <w:color w:val="auto"/>
          <w:szCs w:val="21"/>
          <w:shd w:val="clear" w:color="auto" w:fill="auto"/>
        </w:rPr>
        <w:t>分，说明学生在风险发生时</w:t>
      </w:r>
      <w:r>
        <w:rPr>
          <w:rFonts w:hint="eastAsia" w:ascii="宋体" w:hAnsi="宋体" w:eastAsia="宋体"/>
          <w:color w:val="auto"/>
          <w:szCs w:val="21"/>
          <w:shd w:val="clear" w:color="auto" w:fill="auto"/>
        </w:rPr>
        <w:t>能较快采取控制措施，及时率和准确率均在85%-94%之间，能有效控制风险</w:t>
      </w:r>
      <w:r>
        <w:rPr>
          <w:rFonts w:ascii="宋体" w:hAnsi="宋体" w:eastAsia="宋体"/>
          <w:color w:val="auto"/>
          <w:szCs w:val="21"/>
          <w:shd w:val="clear" w:color="auto" w:fill="auto"/>
        </w:rPr>
        <w:t>。这显示学生在风险意识和应对风险的能力上较为</w:t>
      </w:r>
      <w:r>
        <w:rPr>
          <w:rFonts w:hint="eastAsia" w:ascii="宋体" w:hAnsi="宋体" w:eastAsia="宋体"/>
          <w:color w:val="auto"/>
          <w:szCs w:val="21"/>
          <w:shd w:val="clear" w:color="auto" w:fill="auto"/>
        </w:rPr>
        <w:t>扎实</w:t>
      </w:r>
      <w:r>
        <w:rPr>
          <w:rFonts w:ascii="宋体" w:hAnsi="宋体" w:eastAsia="宋体"/>
          <w:color w:val="auto"/>
          <w:szCs w:val="21"/>
          <w:shd w:val="clear" w:color="auto" w:fill="auto"/>
        </w:rPr>
        <w:t>，在实际期货交易中</w:t>
      </w:r>
      <w:r>
        <w:rPr>
          <w:rFonts w:hint="eastAsia" w:ascii="宋体" w:hAnsi="宋体" w:eastAsia="宋体"/>
          <w:color w:val="auto"/>
          <w:szCs w:val="21"/>
          <w:shd w:val="clear" w:color="auto" w:fill="auto"/>
        </w:rPr>
        <w:t>能够</w:t>
      </w:r>
      <w:r>
        <w:rPr>
          <w:rFonts w:ascii="宋体" w:hAnsi="宋体" w:eastAsia="宋体"/>
          <w:color w:val="auto"/>
          <w:szCs w:val="21"/>
          <w:shd w:val="clear" w:color="auto" w:fill="auto"/>
        </w:rPr>
        <w:t>有效地控制风险，</w:t>
      </w:r>
      <w:r>
        <w:rPr>
          <w:rFonts w:hint="eastAsia" w:ascii="宋体" w:hAnsi="宋体" w:eastAsia="宋体"/>
          <w:color w:val="auto"/>
          <w:szCs w:val="21"/>
          <w:shd w:val="clear" w:color="auto" w:fill="auto"/>
        </w:rPr>
        <w:t>但还是</w:t>
      </w:r>
      <w:r>
        <w:rPr>
          <w:rFonts w:ascii="宋体" w:hAnsi="宋体" w:eastAsia="宋体"/>
          <w:color w:val="auto"/>
          <w:szCs w:val="21"/>
          <w:shd w:val="clear" w:color="auto" w:fill="auto"/>
        </w:rPr>
        <w:t>需要</w:t>
      </w:r>
      <w:r>
        <w:rPr>
          <w:rFonts w:hint="eastAsia" w:ascii="宋体" w:hAnsi="宋体" w:eastAsia="宋体"/>
          <w:color w:val="auto"/>
          <w:szCs w:val="21"/>
          <w:shd w:val="clear" w:color="auto" w:fill="auto"/>
        </w:rPr>
        <w:t>进一步</w:t>
      </w:r>
      <w:r>
        <w:rPr>
          <w:rFonts w:ascii="宋体" w:hAnsi="宋体" w:eastAsia="宋体"/>
          <w:color w:val="auto"/>
          <w:szCs w:val="21"/>
          <w:shd w:val="clear" w:color="auto" w:fill="auto"/>
        </w:rPr>
        <w:t>加强对风险控制理论和实践操作的学习，提高在风险发生时的应对速度和准确性。</w:t>
      </w:r>
    </w:p>
    <w:p w14:paraId="3205E789">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方案定制能力</w:t>
      </w:r>
    </w:p>
    <w:p w14:paraId="27902EDD">
      <w:pPr>
        <w:jc w:val="center"/>
        <w:rPr>
          <w:rFonts w:hint="eastAsia" w:ascii="宋体" w:hAnsi="宋体" w:eastAsia="宋体"/>
          <w:color w:val="auto"/>
          <w:szCs w:val="21"/>
          <w:shd w:val="clear" w:color="auto" w:fill="auto"/>
        </w:rPr>
      </w:pPr>
      <w:r>
        <w:rPr>
          <w:rFonts w:ascii="宋体" w:hAnsi="宋体" w:eastAsia="宋体"/>
          <w:color w:val="auto"/>
          <w:szCs w:val="21"/>
          <w:shd w:val="clear" w:color="auto" w:fill="auto"/>
        </w:rPr>
        <w:drawing>
          <wp:inline distT="0" distB="0" distL="0" distR="0">
            <wp:extent cx="4826000" cy="2746375"/>
            <wp:effectExtent l="0" t="0" r="12700" b="15875"/>
            <wp:docPr id="58536420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FE1A8C4">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方案定制能力方面，学校评分为76分，企业评分为83分，学生互评得分为84分。学校方面认为方案整体结构基本完整，采用了较为常规的设计方法，具备一定可行性；企业评价指出</w:t>
      </w:r>
      <w:r>
        <w:rPr>
          <w:rFonts w:hint="eastAsia" w:ascii="宋体" w:hAnsi="宋体" w:eastAsia="宋体"/>
          <w:color w:val="auto"/>
          <w:szCs w:val="21"/>
          <w:shd w:val="clear" w:color="auto" w:fill="auto"/>
        </w:rPr>
        <w:t>方案与客户反馈匹配度较高，能较好地满足客户需求，客户评价较好</w:t>
      </w:r>
      <w:r>
        <w:rPr>
          <w:rFonts w:ascii="宋体" w:hAnsi="宋体" w:eastAsia="宋体"/>
          <w:color w:val="auto"/>
          <w:szCs w:val="21"/>
          <w:shd w:val="clear" w:color="auto" w:fill="auto"/>
        </w:rPr>
        <w:t>；学生互评则反映</w:t>
      </w:r>
      <w:r>
        <w:rPr>
          <w:rFonts w:hint="eastAsia" w:ascii="宋体" w:hAnsi="宋体" w:eastAsia="宋体"/>
          <w:color w:val="auto"/>
          <w:szCs w:val="21"/>
          <w:shd w:val="clear" w:color="auto" w:fill="auto"/>
        </w:rPr>
        <w:t>方案有一定的创新性，针对性较强，实用性较好，对解决客户问题有一定帮助</w:t>
      </w:r>
      <w:r>
        <w:rPr>
          <w:rFonts w:ascii="宋体" w:hAnsi="宋体" w:eastAsia="宋体"/>
          <w:color w:val="auto"/>
          <w:szCs w:val="21"/>
          <w:shd w:val="clear" w:color="auto" w:fill="auto"/>
        </w:rPr>
        <w:t>。综合来看，学生在方案定制方面已具备一定基础，能够完成基本框架的搭建并考虑实际可行性，但在方案的完整性、设计的科学性、内容的创新性以及与客户需求的高匹配度等方面，仍存在进一步提升的空间，未来需加强理论联系实际与差异化设计能力。</w:t>
      </w:r>
    </w:p>
    <w:p w14:paraId="0D374E2D">
      <w:pPr>
        <w:rPr>
          <w:rFonts w:hint="eastAsia" w:ascii="宋体" w:hAnsi="宋体" w:eastAsia="宋体"/>
          <w:color w:val="auto"/>
          <w:szCs w:val="21"/>
          <w:shd w:val="clear" w:color="auto" w:fill="auto"/>
        </w:rPr>
      </w:pPr>
    </w:p>
    <w:p w14:paraId="2F143A26">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工具实操能力</w:t>
      </w:r>
    </w:p>
    <w:p w14:paraId="3607A091">
      <w:pPr>
        <w:ind w:firstLine="420"/>
        <w:jc w:val="center"/>
        <w:rPr>
          <w:rFonts w:hint="eastAsia" w:ascii="宋体" w:hAnsi="宋体" w:eastAsia="宋体"/>
          <w:color w:val="auto"/>
          <w:szCs w:val="21"/>
          <w:shd w:val="clear" w:color="auto" w:fill="auto"/>
        </w:rPr>
      </w:pPr>
      <w:r>
        <w:rPr>
          <w:rFonts w:ascii="宋体" w:hAnsi="宋体" w:eastAsia="宋体"/>
          <w:color w:val="auto"/>
          <w:szCs w:val="21"/>
          <w:shd w:val="clear" w:color="auto" w:fill="auto"/>
        </w:rPr>
        <w:drawing>
          <wp:inline distT="0" distB="0" distL="0" distR="0">
            <wp:extent cx="4827270" cy="2746375"/>
            <wp:effectExtent l="0" t="0" r="11430" b="15875"/>
            <wp:docPr id="155794491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507462A">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在工具实操能力方面，学校评分为79分，学生互评则为70分。学校评价显示，学生的无错误操作次数处于规定范围的75%–84%之间，整体操作较为熟练，虽偶有小失误但能及时调整。而学生互评可能更侧重于实际应用过程中解决问题的能力。这表明学生在工具使用的规范性方面仍有提升空间，需进一步减少操作失误，同时加强对工具各项功能的灵活运用能力。</w:t>
      </w:r>
    </w:p>
    <w:p w14:paraId="031B6FBC">
      <w:pPr>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调整优化能力</w:t>
      </w:r>
    </w:p>
    <w:p w14:paraId="4E9A34CC">
      <w:pPr>
        <w:jc w:val="center"/>
        <w:rPr>
          <w:rFonts w:hint="eastAsia" w:ascii="宋体" w:hAnsi="宋体" w:eastAsia="宋体"/>
          <w:color w:val="auto"/>
          <w:szCs w:val="21"/>
          <w:shd w:val="clear" w:color="auto" w:fill="auto"/>
        </w:rPr>
      </w:pPr>
      <w:r>
        <w:rPr>
          <w:rFonts w:ascii="宋体" w:hAnsi="宋体" w:eastAsia="宋体"/>
          <w:color w:val="auto"/>
          <w:szCs w:val="21"/>
          <w:shd w:val="clear" w:color="auto" w:fill="auto"/>
        </w:rPr>
        <w:drawing>
          <wp:inline distT="0" distB="0" distL="0" distR="0">
            <wp:extent cx="4826635" cy="2746375"/>
            <wp:effectExtent l="0" t="0" r="12065" b="15875"/>
            <wp:docPr id="65469915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487A84">
      <w:pPr>
        <w:ind w:firstLine="420"/>
        <w:rPr>
          <w:rFonts w:hint="eastAsia" w:ascii="宋体" w:hAnsi="宋体" w:eastAsia="宋体"/>
          <w:color w:val="auto"/>
          <w:szCs w:val="21"/>
          <w:shd w:val="clear" w:color="auto" w:fill="auto"/>
        </w:rPr>
      </w:pPr>
      <w:r>
        <w:rPr>
          <w:rFonts w:ascii="宋体" w:hAnsi="宋体" w:eastAsia="宋体"/>
          <w:color w:val="auto"/>
          <w:szCs w:val="21"/>
          <w:shd w:val="clear" w:color="auto" w:fill="auto"/>
        </w:rPr>
        <w:t>调整优化能力学校评</w:t>
      </w:r>
      <w:r>
        <w:rPr>
          <w:rFonts w:hint="eastAsia" w:ascii="宋体" w:hAnsi="宋体" w:eastAsia="宋体"/>
          <w:color w:val="auto"/>
          <w:szCs w:val="21"/>
          <w:shd w:val="clear" w:color="auto" w:fill="auto"/>
        </w:rPr>
        <w:t>81</w:t>
      </w:r>
      <w:r>
        <w:rPr>
          <w:rFonts w:ascii="宋体" w:hAnsi="宋体" w:eastAsia="宋体"/>
          <w:color w:val="auto"/>
          <w:szCs w:val="21"/>
          <w:shd w:val="clear" w:color="auto" w:fill="auto"/>
        </w:rPr>
        <w:t>分、学生自评7</w:t>
      </w:r>
      <w:r>
        <w:rPr>
          <w:rFonts w:hint="eastAsia" w:ascii="宋体" w:hAnsi="宋体" w:eastAsia="宋体"/>
          <w:color w:val="auto"/>
          <w:szCs w:val="21"/>
          <w:shd w:val="clear" w:color="auto" w:fill="auto"/>
        </w:rPr>
        <w:t>5</w:t>
      </w:r>
      <w:r>
        <w:rPr>
          <w:rFonts w:ascii="宋体" w:hAnsi="宋体" w:eastAsia="宋体"/>
          <w:color w:val="auto"/>
          <w:szCs w:val="21"/>
          <w:shd w:val="clear" w:color="auto" w:fill="auto"/>
        </w:rPr>
        <w:t>分、学生互评</w:t>
      </w:r>
      <w:r>
        <w:rPr>
          <w:rFonts w:hint="eastAsia" w:ascii="宋体" w:hAnsi="宋体" w:eastAsia="宋体"/>
          <w:color w:val="auto"/>
          <w:szCs w:val="21"/>
          <w:shd w:val="clear" w:color="auto" w:fill="auto"/>
        </w:rPr>
        <w:t>83</w:t>
      </w:r>
      <w:r>
        <w:rPr>
          <w:rFonts w:ascii="宋体" w:hAnsi="宋体" w:eastAsia="宋体"/>
          <w:color w:val="auto"/>
          <w:szCs w:val="21"/>
          <w:shd w:val="clear" w:color="auto" w:fill="auto"/>
        </w:rPr>
        <w:t>分。学校认为</w:t>
      </w:r>
      <w:r>
        <w:rPr>
          <w:rFonts w:hint="eastAsia" w:ascii="宋体" w:hAnsi="宋体" w:eastAsia="宋体"/>
          <w:color w:val="auto"/>
          <w:szCs w:val="21"/>
          <w:shd w:val="clear" w:color="auto" w:fill="auto"/>
        </w:rPr>
        <w:t>目标达成率在85%-94%之间，产品优化次数较多且有一定效果，能积极推动项目的完善</w:t>
      </w:r>
      <w:r>
        <w:rPr>
          <w:rFonts w:ascii="宋体" w:hAnsi="宋体" w:eastAsia="宋体"/>
          <w:color w:val="auto"/>
          <w:szCs w:val="21"/>
          <w:shd w:val="clear" w:color="auto" w:fill="auto"/>
        </w:rPr>
        <w:t>；学生自评主动性一般，能完成基本任务；学生互评觉得调整优化创新性不足。这体现出学生在</w:t>
      </w:r>
      <w:r>
        <w:rPr>
          <w:rFonts w:hint="eastAsia" w:ascii="宋体" w:hAnsi="宋体" w:eastAsia="宋体"/>
          <w:color w:val="auto"/>
          <w:szCs w:val="21"/>
          <w:shd w:val="clear" w:color="auto" w:fill="auto"/>
        </w:rPr>
        <w:t>调整优化有一定的创新性，方案较合理，能对项目有较好的改进作用，得到大多数人的认可。</w:t>
      </w:r>
    </w:p>
    <w:p w14:paraId="4589DA63">
      <w:pPr>
        <w:ind w:firstLine="420"/>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提升建议：</w:t>
      </w:r>
    </w:p>
    <w:p w14:paraId="43D9C654">
      <w:pPr>
        <w:ind w:firstLine="420"/>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提升期货交易能力是一个系统工程，需从多个维度协同发力。系统操作是基础，必须对交易平台了如指掌，确保指令能精准、迅速地执行。在此基础上，强大的数据分析能力是关键，要能综合研判基本面与技术面，洞察价格背后的逻辑。然而，比盈利更重要的是风险控制，它是一切交易的基石，意味着必须恪守严格的仓位管理和止损纪律。这三者共同构成了一套交易方案的骨架，而方案定制就是将其与个人风格融合，形成稳定且可重复的交易系统。</w:t>
      </w:r>
    </w:p>
    <w:p w14:paraId="6F0803CD">
      <w:pPr>
        <w:ind w:firstLine="420"/>
        <w:rPr>
          <w:rFonts w:hint="eastAsia" w:ascii="宋体" w:hAnsi="宋体" w:eastAsia="宋体"/>
          <w:color w:val="auto"/>
          <w:szCs w:val="21"/>
          <w:shd w:val="clear" w:color="auto" w:fill="auto"/>
        </w:rPr>
      </w:pPr>
      <w:r>
        <w:rPr>
          <w:rFonts w:hint="eastAsia" w:ascii="宋体" w:hAnsi="宋体" w:eastAsia="宋体"/>
          <w:color w:val="auto"/>
          <w:szCs w:val="21"/>
          <w:shd w:val="clear" w:color="auto" w:fill="auto"/>
        </w:rPr>
        <w:t>在实战中，工具实操的熟练度直接影响效率，要善于利用软件的高级功能辅助决策。市场瞬息万变，因此调整优化能力至关重要，即根据市况和账户波动，灵活微调策略与风险敞口，并始终保持冷静的心态管理，克服贪婪与恐惧。最终，所有能力的提升都离不开持续学习的驱动，通过不断复盘、跟踪市场、吸收新知，才能实现交易体系的持续进化。简言之，成功的交易源于扎实的基础、铁律般的风控、灵活的应变与永不停止的学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9D"/>
    <w:rsid w:val="00004E18"/>
    <w:rsid w:val="00022CD3"/>
    <w:rsid w:val="000565DF"/>
    <w:rsid w:val="0007192B"/>
    <w:rsid w:val="001C244F"/>
    <w:rsid w:val="00246EA9"/>
    <w:rsid w:val="002C0362"/>
    <w:rsid w:val="002D38E0"/>
    <w:rsid w:val="0031479C"/>
    <w:rsid w:val="00346BA1"/>
    <w:rsid w:val="00347253"/>
    <w:rsid w:val="003861F7"/>
    <w:rsid w:val="00435B3E"/>
    <w:rsid w:val="00441527"/>
    <w:rsid w:val="004A24BA"/>
    <w:rsid w:val="0064531A"/>
    <w:rsid w:val="00676500"/>
    <w:rsid w:val="00816E86"/>
    <w:rsid w:val="00837A1B"/>
    <w:rsid w:val="00911DD0"/>
    <w:rsid w:val="009574C4"/>
    <w:rsid w:val="0096146D"/>
    <w:rsid w:val="00964AF6"/>
    <w:rsid w:val="00980F97"/>
    <w:rsid w:val="009C50FB"/>
    <w:rsid w:val="00A05E60"/>
    <w:rsid w:val="00AD4EFE"/>
    <w:rsid w:val="00AF16F7"/>
    <w:rsid w:val="00B110FF"/>
    <w:rsid w:val="00B62F69"/>
    <w:rsid w:val="00B77E98"/>
    <w:rsid w:val="00BC72CA"/>
    <w:rsid w:val="00BE3264"/>
    <w:rsid w:val="00E04E9D"/>
    <w:rsid w:val="00E538E1"/>
    <w:rsid w:val="00E96250"/>
    <w:rsid w:val="00F458C5"/>
    <w:rsid w:val="00F666AA"/>
    <w:rsid w:val="128B1414"/>
    <w:rsid w:val="14DD474D"/>
    <w:rsid w:val="4FA330E5"/>
    <w:rsid w:val="60B96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78</c:v>
                </c:pt>
                <c:pt idx="1">
                  <c:v>80</c:v>
                </c:pt>
                <c:pt idx="2">
                  <c:v>82</c:v>
                </c:pt>
                <c:pt idx="3">
                  <c:v>76</c:v>
                </c:pt>
                <c:pt idx="4">
                  <c:v>79</c:v>
                </c:pt>
                <c:pt idx="5">
                  <c:v>81</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77</c:v>
                </c:pt>
                <c:pt idx="3">
                  <c:v>83</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75</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84</c:v>
                </c:pt>
                <c:pt idx="4">
                  <c:v>70</c:v>
                </c:pt>
                <c:pt idx="5">
                  <c:v>83</c:v>
                </c:pt>
              </c:numCache>
            </c:numRef>
          </c:val>
        </c:ser>
        <c:dLbls>
          <c:showLegendKey val="0"/>
          <c:showVal val="1"/>
          <c:showCatName val="0"/>
          <c:showSerName val="0"/>
          <c:showPercent val="0"/>
          <c:showBubbleSize val="0"/>
        </c:dLbls>
        <c:gapWidth val="246"/>
        <c:overlap val="-28"/>
        <c:axId val="249334958"/>
        <c:axId val="107156293"/>
      </c:barChart>
      <c:catAx>
        <c:axId val="24933495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7156293"/>
        <c:crosses val="autoZero"/>
        <c:auto val="1"/>
        <c:lblAlgn val="ctr"/>
        <c:lblOffset val="100"/>
        <c:noMultiLvlLbl val="0"/>
      </c:catAx>
      <c:valAx>
        <c:axId val="10715629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933495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c1c5de4-de1d-4a18-bd19-6d7a961e268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bar"/>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80</c:v>
                </c:pt>
                <c:pt idx="1">
                  <c:v>77</c:v>
                </c:pt>
              </c:numCache>
            </c:numRef>
          </c:val>
        </c:ser>
        <c:dLbls>
          <c:showLegendKey val="0"/>
          <c:showVal val="0"/>
          <c:showCatName val="0"/>
          <c:showSerName val="0"/>
          <c:showPercent val="0"/>
          <c:showBubbleSize val="0"/>
        </c:dLbls>
        <c:gapWidth val="246"/>
        <c:overlap val="0"/>
        <c:axId val="45479386"/>
        <c:axId val="436034831"/>
      </c:barChart>
      <c:catAx>
        <c:axId val="45479386"/>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6034831"/>
        <c:crosses val="autoZero"/>
        <c:auto val="1"/>
        <c:lblAlgn val="ctr"/>
        <c:lblOffset val="100"/>
        <c:noMultiLvlLbl val="0"/>
      </c:catAx>
      <c:valAx>
        <c:axId val="436034831"/>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547938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053ba46-8250-458c-b900-4b1b6ab3d97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bar"/>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76</c:v>
                </c:pt>
                <c:pt idx="1">
                  <c:v>83</c:v>
                </c:pt>
                <c:pt idx="2">
                  <c:v>84</c:v>
                </c:pt>
              </c:numCache>
            </c:numRef>
          </c:val>
        </c:ser>
        <c:dLbls>
          <c:showLegendKey val="0"/>
          <c:showVal val="0"/>
          <c:showCatName val="0"/>
          <c:showSerName val="0"/>
          <c:showPercent val="0"/>
          <c:showBubbleSize val="0"/>
        </c:dLbls>
        <c:gapWidth val="246"/>
        <c:overlap val="0"/>
        <c:axId val="404431241"/>
        <c:axId val="181947995"/>
      </c:barChart>
      <c:catAx>
        <c:axId val="404431241"/>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1947995"/>
        <c:crosses val="autoZero"/>
        <c:auto val="1"/>
        <c:lblAlgn val="ctr"/>
        <c:lblOffset val="100"/>
        <c:noMultiLvlLbl val="0"/>
      </c:catAx>
      <c:valAx>
        <c:axId val="181947995"/>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443124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babc979-a0e3-4963-8cd0-8284f9cae51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bar"/>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79</c:v>
                </c:pt>
                <c:pt idx="1">
                  <c:v>70</c:v>
                </c:pt>
              </c:numCache>
            </c:numRef>
          </c:val>
        </c:ser>
        <c:dLbls>
          <c:showLegendKey val="0"/>
          <c:showVal val="0"/>
          <c:showCatName val="0"/>
          <c:showSerName val="0"/>
          <c:showPercent val="0"/>
          <c:showBubbleSize val="0"/>
        </c:dLbls>
        <c:gapWidth val="246"/>
        <c:overlap val="0"/>
        <c:axId val="417934623"/>
        <c:axId val="170751307"/>
      </c:barChart>
      <c:catAx>
        <c:axId val="417934623"/>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0751307"/>
        <c:crosses val="autoZero"/>
        <c:auto val="1"/>
        <c:lblAlgn val="ctr"/>
        <c:lblOffset val="100"/>
        <c:noMultiLvlLbl val="0"/>
      </c:catAx>
      <c:valAx>
        <c:axId val="170751307"/>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1793462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49476f2-b054-4023-90cc-80a86d2dc01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bar"/>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81</c:v>
                </c:pt>
                <c:pt idx="1">
                  <c:v>75</c:v>
                </c:pt>
                <c:pt idx="2">
                  <c:v>83</c:v>
                </c:pt>
              </c:numCache>
            </c:numRef>
          </c:val>
        </c:ser>
        <c:dLbls>
          <c:showLegendKey val="0"/>
          <c:showVal val="0"/>
          <c:showCatName val="0"/>
          <c:showSerName val="0"/>
          <c:showPercent val="0"/>
          <c:showBubbleSize val="0"/>
        </c:dLbls>
        <c:gapWidth val="246"/>
        <c:overlap val="0"/>
        <c:axId val="983983022"/>
        <c:axId val="788139256"/>
      </c:barChart>
      <c:catAx>
        <c:axId val="983983022"/>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8139256"/>
        <c:crosses val="autoZero"/>
        <c:auto val="1"/>
        <c:lblAlgn val="ctr"/>
        <c:lblOffset val="100"/>
        <c:noMultiLvlLbl val="0"/>
      </c:catAx>
      <c:valAx>
        <c:axId val="788139256"/>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8398302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c9a2f2f-a0d7-41a5-be93-05ab6b61e3e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1984</Words>
  <Characters>2046</Characters>
  <Lines>64</Lines>
  <Paragraphs>54</Paragraphs>
  <TotalTime>127</TotalTime>
  <ScaleCrop>false</ScaleCrop>
  <LinksUpToDate>false</LinksUpToDate>
  <CharactersWithSpaces>2046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2025-09-26T07:44:00Z</dcterms:created>
  <dc:creator>庆敏 侯</dc:creator>
  <cp:lastModifiedBy>Sternstunde</cp:lastModifiedBy>
  <dcterms:modified xsi:type="dcterms:W3CDTF">2025-09-29T12:28:06Z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967630AF8A384D1BA10D0EE12E95A70D_13</vt:lpwstr>
  </property>
</Properties>
</file>